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91" w:rsidRDefault="00133391" w:rsidP="00133391">
      <w:pPr>
        <w:spacing w:before="20" w:after="20"/>
        <w:ind w:left="431" w:right="289" w:hanging="431"/>
        <w:jc w:val="center"/>
        <w:rPr>
          <w:rFonts w:ascii="Arial Narrow" w:hAnsi="Arial Narrow"/>
          <w:b/>
          <w:color w:val="auto"/>
          <w:sz w:val="24"/>
          <w:lang w:val="pt-BR" w:eastAsia="pt-BR"/>
        </w:rPr>
      </w:pPr>
    </w:p>
    <w:p w:rsidR="00FE5AF6" w:rsidRPr="00133391" w:rsidRDefault="00FE5AF6" w:rsidP="00133391">
      <w:pPr>
        <w:spacing w:before="20" w:after="20"/>
        <w:ind w:left="431" w:right="289" w:hanging="431"/>
        <w:jc w:val="center"/>
        <w:rPr>
          <w:rFonts w:ascii="Arial Narrow" w:hAnsi="Arial Narrow"/>
          <w:b/>
          <w:color w:val="auto"/>
          <w:sz w:val="24"/>
          <w:lang w:val="pt-BR" w:eastAsia="pt-BR"/>
        </w:rPr>
      </w:pPr>
      <w:r w:rsidRPr="00133391">
        <w:rPr>
          <w:rFonts w:ascii="Arial Narrow" w:hAnsi="Arial Narrow"/>
          <w:b/>
          <w:color w:val="auto"/>
          <w:sz w:val="24"/>
          <w:lang w:val="pt-BR" w:eastAsia="pt-BR"/>
        </w:rPr>
        <w:t xml:space="preserve">TERMO DE OPÇÃO PELO REGIME DE TRIBUTAÇÃO </w:t>
      </w:r>
    </w:p>
    <w:p w:rsidR="00FE5AF6" w:rsidRPr="00133391" w:rsidRDefault="00FE5AF6" w:rsidP="00133391">
      <w:pPr>
        <w:spacing w:before="20" w:after="20"/>
        <w:ind w:left="431" w:right="289" w:hanging="431"/>
        <w:jc w:val="center"/>
        <w:rPr>
          <w:rFonts w:ascii="Arial Narrow" w:hAnsi="Arial Narrow"/>
          <w:b/>
          <w:color w:val="auto"/>
          <w:sz w:val="24"/>
          <w:lang w:val="pt-BR" w:eastAsia="pt-BR"/>
        </w:rPr>
      </w:pPr>
      <w:r w:rsidRPr="00133391">
        <w:rPr>
          <w:rFonts w:ascii="Arial Narrow" w:hAnsi="Arial Narrow"/>
          <w:b/>
          <w:color w:val="auto"/>
          <w:sz w:val="24"/>
          <w:lang w:val="pt-BR" w:eastAsia="pt-BR"/>
        </w:rPr>
        <w:t>DO IMPOSTO DE RENDA</w:t>
      </w:r>
    </w:p>
    <w:p w:rsidR="00FE5AF6" w:rsidRDefault="00FE5AF6" w:rsidP="00FE5AF6">
      <w:pPr>
        <w:pStyle w:val="Style1"/>
        <w:kinsoku w:val="0"/>
        <w:autoSpaceDE/>
        <w:autoSpaceDN/>
        <w:adjustRightInd/>
        <w:spacing w:line="208" w:lineRule="auto"/>
        <w:ind w:right="252"/>
        <w:jc w:val="center"/>
        <w:rPr>
          <w:rStyle w:val="CharacterStyle1"/>
          <w:rFonts w:ascii="Verdana" w:hAnsi="Verdana" w:cs="Verdana"/>
          <w:b/>
          <w:bCs/>
          <w:sz w:val="22"/>
          <w:szCs w:val="22"/>
        </w:rPr>
      </w:pPr>
    </w:p>
    <w:p w:rsidR="00FE5AF6" w:rsidRPr="00643D2E" w:rsidRDefault="00FE5AF6" w:rsidP="00FE5AF6">
      <w:pPr>
        <w:pStyle w:val="Style1"/>
        <w:kinsoku w:val="0"/>
        <w:autoSpaceDE/>
        <w:autoSpaceDN/>
        <w:adjustRightInd/>
        <w:spacing w:line="208" w:lineRule="auto"/>
        <w:ind w:right="252"/>
        <w:jc w:val="center"/>
        <w:rPr>
          <w:rStyle w:val="CharacterStyle1"/>
          <w:rFonts w:ascii="Verdana" w:hAnsi="Verdana" w:cs="Verdana"/>
          <w:b/>
          <w:bCs/>
          <w:sz w:val="22"/>
          <w:szCs w:val="22"/>
        </w:rPr>
      </w:pPr>
    </w:p>
    <w:tbl>
      <w:tblPr>
        <w:tblStyle w:val="Tabelacomgrade"/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5387"/>
        <w:gridCol w:w="2409"/>
      </w:tblGrid>
      <w:tr w:rsidR="00FE5AF6" w:rsidRPr="00643D2E" w:rsidTr="00B04301">
        <w:trPr>
          <w:trHeight w:val="230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E5AF6" w:rsidRPr="00133391" w:rsidRDefault="00FE5AF6" w:rsidP="00133391">
            <w:pPr>
              <w:spacing w:before="20" w:after="20"/>
              <w:ind w:left="431" w:right="289" w:hanging="431"/>
              <w:jc w:val="center"/>
              <w:rPr>
                <w:rFonts w:ascii="Arial Narrow" w:hAnsi="Arial Narrow"/>
                <w:color w:val="auto"/>
                <w:lang w:val="pt-BR" w:eastAsia="pt-BR"/>
              </w:rPr>
            </w:pPr>
            <w:r w:rsidRPr="00133391">
              <w:rPr>
                <w:rFonts w:ascii="Arial Narrow" w:hAnsi="Arial Narrow"/>
                <w:b/>
                <w:color w:val="auto"/>
                <w:lang w:val="pt-BR" w:eastAsia="pt-BR"/>
              </w:rPr>
              <w:t>DADOS DO PARTICIPANTE</w:t>
            </w:r>
          </w:p>
        </w:tc>
      </w:tr>
      <w:tr w:rsidR="00FE5AF6" w:rsidRPr="00FE5AF6" w:rsidTr="00B04301">
        <w:tc>
          <w:tcPr>
            <w:tcW w:w="1418" w:type="dxa"/>
            <w:tcBorders>
              <w:top w:val="single" w:sz="4" w:space="0" w:color="auto"/>
            </w:tcBorders>
          </w:tcPr>
          <w:p w:rsidR="00FE5AF6" w:rsidRPr="00FE5AF6" w:rsidRDefault="00FE5AF6" w:rsidP="00B04301">
            <w:pPr>
              <w:rPr>
                <w:bCs/>
                <w:color w:val="auto"/>
                <w:szCs w:val="18"/>
                <w:vertAlign w:val="superscript"/>
              </w:rPr>
            </w:pPr>
            <w:proofErr w:type="spellStart"/>
            <w:r w:rsidRPr="00FE5AF6">
              <w:rPr>
                <w:bCs/>
                <w:color w:val="auto"/>
                <w:szCs w:val="18"/>
                <w:vertAlign w:val="superscript"/>
              </w:rPr>
              <w:t>Matrícula</w:t>
            </w:r>
            <w:proofErr w:type="spellEnd"/>
          </w:p>
          <w:p w:rsidR="00FE5AF6" w:rsidRPr="00FE5AF6" w:rsidRDefault="00FE5AF6" w:rsidP="00B04301">
            <w:pPr>
              <w:rPr>
                <w:bCs/>
                <w:color w:val="auto"/>
                <w:szCs w:val="1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E5AF6" w:rsidRPr="00FE5AF6" w:rsidRDefault="00FE5AF6" w:rsidP="00B04301">
            <w:pPr>
              <w:rPr>
                <w:bCs/>
                <w:color w:val="auto"/>
                <w:szCs w:val="18"/>
                <w:vertAlign w:val="superscript"/>
              </w:rPr>
            </w:pPr>
            <w:proofErr w:type="spellStart"/>
            <w:r w:rsidRPr="00FE5AF6">
              <w:rPr>
                <w:bCs/>
                <w:color w:val="auto"/>
                <w:szCs w:val="18"/>
                <w:vertAlign w:val="superscript"/>
              </w:rPr>
              <w:t>Patrocinadora</w:t>
            </w:r>
            <w:proofErr w:type="spellEnd"/>
          </w:p>
          <w:p w:rsidR="00FE5AF6" w:rsidRPr="00FE5AF6" w:rsidRDefault="00FE5AF6" w:rsidP="00B04301">
            <w:pPr>
              <w:rPr>
                <w:bCs/>
                <w:color w:val="auto"/>
                <w:szCs w:val="18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E5AF6" w:rsidRPr="00FE5AF6" w:rsidRDefault="00FE5AF6" w:rsidP="00B04301">
            <w:pPr>
              <w:rPr>
                <w:bCs/>
                <w:color w:val="auto"/>
                <w:szCs w:val="18"/>
                <w:vertAlign w:val="superscript"/>
              </w:rPr>
            </w:pPr>
            <w:r w:rsidRPr="00FE5AF6">
              <w:rPr>
                <w:bCs/>
                <w:color w:val="auto"/>
                <w:szCs w:val="18"/>
                <w:vertAlign w:val="superscript"/>
              </w:rPr>
              <w:t xml:space="preserve">Data de </w:t>
            </w:r>
            <w:proofErr w:type="spellStart"/>
            <w:r w:rsidRPr="00FE5AF6">
              <w:rPr>
                <w:bCs/>
                <w:color w:val="auto"/>
                <w:szCs w:val="18"/>
                <w:vertAlign w:val="superscript"/>
              </w:rPr>
              <w:t>Adesão</w:t>
            </w:r>
            <w:proofErr w:type="spellEnd"/>
          </w:p>
          <w:p w:rsidR="00FE5AF6" w:rsidRPr="00FE5AF6" w:rsidRDefault="00FE5AF6" w:rsidP="00B04301">
            <w:pPr>
              <w:rPr>
                <w:bCs/>
                <w:color w:val="auto"/>
                <w:szCs w:val="18"/>
                <w:vertAlign w:val="superscript"/>
              </w:rPr>
            </w:pPr>
          </w:p>
        </w:tc>
      </w:tr>
      <w:tr w:rsidR="00FE5AF6" w:rsidRPr="00FE5AF6" w:rsidTr="00B04301">
        <w:tc>
          <w:tcPr>
            <w:tcW w:w="6805" w:type="dxa"/>
            <w:gridSpan w:val="2"/>
          </w:tcPr>
          <w:p w:rsidR="00FE5AF6" w:rsidRPr="0028400D" w:rsidRDefault="00FE5AF6" w:rsidP="00B04301">
            <w:pPr>
              <w:rPr>
                <w:bCs/>
                <w:color w:val="auto"/>
                <w:szCs w:val="18"/>
                <w:vertAlign w:val="superscript"/>
                <w:lang w:val="pt-BR"/>
              </w:rPr>
            </w:pPr>
            <w:r w:rsidRPr="0028400D">
              <w:rPr>
                <w:bCs/>
                <w:color w:val="auto"/>
                <w:szCs w:val="18"/>
                <w:vertAlign w:val="superscript"/>
                <w:lang w:val="pt-BR"/>
              </w:rPr>
              <w:t>Nome</w:t>
            </w:r>
          </w:p>
          <w:p w:rsidR="00FE5AF6" w:rsidRPr="0028400D" w:rsidRDefault="00FE5AF6" w:rsidP="00B04301">
            <w:pPr>
              <w:rPr>
                <w:bCs/>
                <w:color w:val="auto"/>
                <w:szCs w:val="18"/>
                <w:vertAlign w:val="superscript"/>
                <w:lang w:val="pt-BR"/>
              </w:rPr>
            </w:pPr>
          </w:p>
        </w:tc>
        <w:tc>
          <w:tcPr>
            <w:tcW w:w="2409" w:type="dxa"/>
          </w:tcPr>
          <w:p w:rsidR="00FE5AF6" w:rsidRDefault="00FE5AF6" w:rsidP="00B04301">
            <w:pPr>
              <w:rPr>
                <w:bCs/>
                <w:color w:val="auto"/>
                <w:szCs w:val="18"/>
                <w:vertAlign w:val="superscript"/>
              </w:rPr>
            </w:pPr>
            <w:r w:rsidRPr="0028400D">
              <w:rPr>
                <w:bCs/>
                <w:color w:val="auto"/>
                <w:szCs w:val="18"/>
                <w:vertAlign w:val="superscript"/>
                <w:lang w:val="pt-BR"/>
              </w:rPr>
              <w:t xml:space="preserve"> </w:t>
            </w:r>
            <w:r w:rsidRPr="00FE5AF6">
              <w:rPr>
                <w:bCs/>
                <w:color w:val="auto"/>
                <w:szCs w:val="18"/>
                <w:vertAlign w:val="superscript"/>
              </w:rPr>
              <w:t>CPF</w:t>
            </w:r>
          </w:p>
          <w:p w:rsidR="0028400D" w:rsidRPr="00FE5AF6" w:rsidRDefault="0028400D" w:rsidP="00B04301">
            <w:pPr>
              <w:rPr>
                <w:bCs/>
                <w:color w:val="auto"/>
                <w:szCs w:val="18"/>
                <w:vertAlign w:val="superscript"/>
              </w:rPr>
            </w:pPr>
          </w:p>
        </w:tc>
      </w:tr>
      <w:tr w:rsidR="00FE5AF6" w:rsidRPr="0028400D" w:rsidTr="00B04301">
        <w:trPr>
          <w:cantSplit/>
        </w:trPr>
        <w:tc>
          <w:tcPr>
            <w:tcW w:w="9214" w:type="dxa"/>
            <w:gridSpan w:val="3"/>
          </w:tcPr>
          <w:p w:rsidR="00FE5AF6" w:rsidRPr="00FE5AF6" w:rsidRDefault="00FE5AF6" w:rsidP="00B04301">
            <w:pPr>
              <w:rPr>
                <w:bCs/>
                <w:color w:val="auto"/>
                <w:szCs w:val="18"/>
                <w:vertAlign w:val="superscript"/>
                <w:lang w:val="pt-BR"/>
              </w:rPr>
            </w:pPr>
            <w:r w:rsidRPr="00FE5AF6">
              <w:rPr>
                <w:bCs/>
                <w:color w:val="auto"/>
                <w:szCs w:val="18"/>
                <w:vertAlign w:val="superscript"/>
                <w:lang w:val="pt-BR"/>
              </w:rPr>
              <w:t>Telefone(s) para contato: Comercial / Residencial / Celular</w:t>
            </w:r>
          </w:p>
          <w:p w:rsidR="00FE5AF6" w:rsidRPr="00FE5AF6" w:rsidRDefault="00FE5AF6" w:rsidP="00B04301">
            <w:pPr>
              <w:rPr>
                <w:bCs/>
                <w:color w:val="auto"/>
                <w:szCs w:val="18"/>
                <w:vertAlign w:val="superscript"/>
                <w:lang w:val="pt-BR"/>
              </w:rPr>
            </w:pPr>
          </w:p>
        </w:tc>
      </w:tr>
      <w:tr w:rsidR="00FE5AF6" w:rsidRPr="00881660" w:rsidTr="00B04301">
        <w:tc>
          <w:tcPr>
            <w:tcW w:w="9214" w:type="dxa"/>
            <w:gridSpan w:val="3"/>
          </w:tcPr>
          <w:p w:rsidR="00FE5AF6" w:rsidRPr="0028400D" w:rsidRDefault="00FE5AF6" w:rsidP="00B04301">
            <w:pPr>
              <w:rPr>
                <w:bCs/>
                <w:color w:val="auto"/>
                <w:szCs w:val="18"/>
                <w:vertAlign w:val="superscript"/>
                <w:lang w:val="pt-BR"/>
              </w:rPr>
            </w:pPr>
            <w:r w:rsidRPr="0028400D">
              <w:rPr>
                <w:bCs/>
                <w:color w:val="auto"/>
                <w:szCs w:val="18"/>
                <w:vertAlign w:val="superscript"/>
                <w:lang w:val="pt-BR"/>
              </w:rPr>
              <w:t>E-mail: Comercial / Pessoal</w:t>
            </w:r>
          </w:p>
          <w:p w:rsidR="00FE5AF6" w:rsidRPr="0028400D" w:rsidRDefault="00FE5AF6" w:rsidP="00B04301">
            <w:pPr>
              <w:rPr>
                <w:bCs/>
                <w:color w:val="auto"/>
                <w:szCs w:val="18"/>
                <w:vertAlign w:val="superscript"/>
                <w:lang w:val="pt-BR"/>
              </w:rPr>
            </w:pPr>
            <w:bookmarkStart w:id="0" w:name="_GoBack"/>
            <w:bookmarkEnd w:id="0"/>
          </w:p>
        </w:tc>
      </w:tr>
    </w:tbl>
    <w:p w:rsidR="00FE5AF6" w:rsidRPr="00836F42" w:rsidRDefault="00FE5AF6" w:rsidP="00FE5AF6">
      <w:pPr>
        <w:pStyle w:val="Style1"/>
        <w:kinsoku w:val="0"/>
        <w:autoSpaceDE/>
        <w:autoSpaceDN/>
        <w:adjustRightInd/>
        <w:ind w:right="432"/>
        <w:rPr>
          <w:rStyle w:val="CharacterStyle1"/>
          <w:rFonts w:ascii="Arial" w:hAnsi="Arial" w:cs="Arial"/>
          <w:spacing w:val="-5"/>
          <w:w w:val="105"/>
        </w:rPr>
      </w:pPr>
    </w:p>
    <w:p w:rsidR="00FE5AF6" w:rsidRDefault="00FE5AF6" w:rsidP="00FE5AF6">
      <w:pPr>
        <w:pStyle w:val="Pa2"/>
        <w:jc w:val="both"/>
        <w:rPr>
          <w:rStyle w:val="CharacterStyle1"/>
          <w:spacing w:val="-5"/>
          <w:w w:val="105"/>
          <w:sz w:val="22"/>
          <w:szCs w:val="22"/>
        </w:rPr>
      </w:pPr>
      <w:r>
        <w:rPr>
          <w:rStyle w:val="CharacterStyle1"/>
          <w:spacing w:val="-5"/>
          <w:w w:val="105"/>
          <w:sz w:val="22"/>
          <w:szCs w:val="22"/>
        </w:rPr>
        <w:t xml:space="preserve">Escolha, apenas uma das opções abaixo para </w:t>
      </w:r>
      <w:r w:rsidRPr="008345E6">
        <w:rPr>
          <w:rStyle w:val="CharacterStyle1"/>
          <w:spacing w:val="-5"/>
          <w:w w:val="105"/>
          <w:sz w:val="22"/>
          <w:szCs w:val="22"/>
        </w:rPr>
        <w:t>Regime de Tributação</w:t>
      </w:r>
      <w:r w:rsidR="005912C4">
        <w:rPr>
          <w:rStyle w:val="CharacterStyle1"/>
          <w:spacing w:val="-5"/>
          <w:w w:val="105"/>
          <w:sz w:val="22"/>
          <w:szCs w:val="22"/>
        </w:rPr>
        <w:t xml:space="preserve">. A opção escolhida é </w:t>
      </w:r>
      <w:r w:rsidR="005912C4" w:rsidRPr="00200033">
        <w:rPr>
          <w:b/>
          <w:color w:val="000000"/>
          <w:sz w:val="23"/>
          <w:szCs w:val="23"/>
          <w:u w:val="single"/>
        </w:rPr>
        <w:t>definitiva e irretratável.</w:t>
      </w:r>
    </w:p>
    <w:p w:rsidR="00FE5AF6" w:rsidRPr="008345E6" w:rsidRDefault="00FE5AF6" w:rsidP="00FE5AF6">
      <w:pPr>
        <w:pStyle w:val="Default"/>
      </w:pPr>
    </w:p>
    <w:p w:rsidR="00FE5AF6" w:rsidRDefault="009627C2" w:rsidP="00FE5AF6">
      <w:pPr>
        <w:pStyle w:val="Pa2"/>
        <w:jc w:val="both"/>
        <w:rPr>
          <w:color w:val="000000"/>
          <w:sz w:val="23"/>
          <w:szCs w:val="23"/>
        </w:rPr>
      </w:pPr>
      <w:proofErr w:type="gramStart"/>
      <w:r w:rsidRPr="00FE5AF6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 xml:space="preserve"> </w:t>
      </w:r>
      <w:proofErr w:type="gramEnd"/>
      <w:r>
        <w:rPr>
          <w:color w:val="000000"/>
          <w:sz w:val="23"/>
          <w:szCs w:val="23"/>
        </w:rPr>
        <w:t>)</w:t>
      </w:r>
      <w:r w:rsidR="00D7367A" w:rsidRPr="00FE5AF6">
        <w:rPr>
          <w:color w:val="000000"/>
          <w:sz w:val="23"/>
          <w:szCs w:val="23"/>
        </w:rPr>
        <w:t xml:space="preserve"> Opto </w:t>
      </w:r>
      <w:r w:rsidR="00FE5AF6">
        <w:rPr>
          <w:color w:val="000000"/>
          <w:sz w:val="23"/>
          <w:szCs w:val="23"/>
        </w:rPr>
        <w:t xml:space="preserve">pelo </w:t>
      </w:r>
      <w:r w:rsidR="00FE5AF6" w:rsidRPr="00476632">
        <w:rPr>
          <w:b/>
          <w:color w:val="000000"/>
          <w:sz w:val="23"/>
          <w:szCs w:val="23"/>
          <w:u w:val="single"/>
        </w:rPr>
        <w:t>regime regressivo</w:t>
      </w:r>
      <w:r w:rsidR="00FE5AF6">
        <w:rPr>
          <w:color w:val="000000"/>
          <w:sz w:val="23"/>
          <w:szCs w:val="23"/>
        </w:rPr>
        <w:t xml:space="preserve"> de tributação previsto no art. 1° da Lei 11.053/04, ciente de que o Imposto de Renda incidirá em caráter definitivo sobre benefício ou resgate do saldo de conta. </w:t>
      </w:r>
    </w:p>
    <w:p w:rsidR="00FE5AF6" w:rsidRPr="00FE5AF6" w:rsidRDefault="00FE5AF6" w:rsidP="00FE5AF6">
      <w:pPr>
        <w:ind w:left="-142" w:right="-283"/>
        <w:jc w:val="both"/>
        <w:rPr>
          <w:color w:val="000000"/>
          <w:sz w:val="23"/>
          <w:szCs w:val="23"/>
          <w:lang w:val="pt-BR"/>
        </w:rPr>
      </w:pPr>
    </w:p>
    <w:p w:rsidR="00FE5AF6" w:rsidRDefault="009627C2" w:rsidP="00FE5AF6">
      <w:pPr>
        <w:jc w:val="both"/>
        <w:rPr>
          <w:color w:val="000000"/>
          <w:sz w:val="23"/>
          <w:szCs w:val="23"/>
          <w:lang w:val="pt-BR"/>
        </w:rPr>
      </w:pPr>
      <w:proofErr w:type="gramStart"/>
      <w:r w:rsidRPr="00FE5AF6">
        <w:rPr>
          <w:color w:val="000000"/>
          <w:sz w:val="23"/>
          <w:szCs w:val="23"/>
          <w:lang w:val="pt-BR"/>
        </w:rPr>
        <w:t>(</w:t>
      </w:r>
      <w:r>
        <w:rPr>
          <w:color w:val="000000"/>
          <w:sz w:val="23"/>
          <w:szCs w:val="23"/>
          <w:lang w:val="pt-BR"/>
        </w:rPr>
        <w:t xml:space="preserve"> </w:t>
      </w:r>
      <w:proofErr w:type="gramEnd"/>
      <w:r>
        <w:rPr>
          <w:color w:val="000000"/>
          <w:sz w:val="23"/>
          <w:szCs w:val="23"/>
          <w:lang w:val="pt-BR"/>
        </w:rPr>
        <w:t>)</w:t>
      </w:r>
      <w:r w:rsidR="00FE5AF6" w:rsidRPr="00FE5AF6">
        <w:rPr>
          <w:color w:val="000000"/>
          <w:sz w:val="23"/>
          <w:szCs w:val="23"/>
          <w:lang w:val="pt-BR"/>
        </w:rPr>
        <w:t xml:space="preserve"> Opto pelo </w:t>
      </w:r>
      <w:r w:rsidR="00FE5AF6" w:rsidRPr="00476632">
        <w:rPr>
          <w:rFonts w:eastAsiaTheme="minorEastAsia"/>
          <w:b/>
          <w:color w:val="000000"/>
          <w:sz w:val="23"/>
          <w:szCs w:val="23"/>
          <w:u w:val="single"/>
          <w:lang w:val="pt-BR" w:eastAsia="pt-BR"/>
        </w:rPr>
        <w:t>regime progressivo</w:t>
      </w:r>
      <w:r w:rsidR="00FE5AF6" w:rsidRPr="00FE5AF6">
        <w:rPr>
          <w:color w:val="000000"/>
          <w:sz w:val="23"/>
          <w:szCs w:val="23"/>
          <w:lang w:val="pt-BR"/>
        </w:rPr>
        <w:t xml:space="preserve"> de tributação, ciente de que o Imposto de Renda incidente sobre benefícios ou resgate será compensável na declaração anual da pessoa física.</w:t>
      </w:r>
    </w:p>
    <w:p w:rsidR="00FE5AF6" w:rsidRPr="00FE5AF6" w:rsidRDefault="00FE5AF6" w:rsidP="00FE5AF6">
      <w:pPr>
        <w:jc w:val="both"/>
        <w:rPr>
          <w:color w:val="000000"/>
          <w:sz w:val="23"/>
          <w:szCs w:val="23"/>
          <w:lang w:val="pt-BR"/>
        </w:rPr>
      </w:pPr>
    </w:p>
    <w:p w:rsidR="00FE5AF6" w:rsidRDefault="00FE5AF6" w:rsidP="00FE5AF6">
      <w:pPr>
        <w:jc w:val="both"/>
        <w:rPr>
          <w:color w:val="000000"/>
          <w:sz w:val="23"/>
          <w:szCs w:val="23"/>
          <w:lang w:val="pt-BR"/>
        </w:rPr>
      </w:pPr>
      <w:r w:rsidRPr="00FE5AF6">
        <w:rPr>
          <w:b/>
          <w:color w:val="000000"/>
          <w:sz w:val="23"/>
          <w:szCs w:val="23"/>
          <w:u w:val="single"/>
          <w:lang w:val="pt-BR"/>
        </w:rPr>
        <w:t>ATENÇÃO:</w:t>
      </w:r>
      <w:r w:rsidRPr="00FE5AF6">
        <w:rPr>
          <w:color w:val="000000"/>
          <w:sz w:val="23"/>
          <w:szCs w:val="23"/>
          <w:lang w:val="pt-BR"/>
        </w:rPr>
        <w:t xml:space="preserve"> Caso você não se manifeste através deste Termo de Opção, até o último dia útil do mês subsequente à data da sua inscrição no Plano, será considerada a opção pelo Regime Progressivo de Tributação.</w:t>
      </w:r>
    </w:p>
    <w:p w:rsidR="00C60A31" w:rsidRPr="00FE5AF6" w:rsidRDefault="00C60A31" w:rsidP="00FE5AF6">
      <w:pPr>
        <w:jc w:val="both"/>
        <w:rPr>
          <w:color w:val="000000"/>
          <w:sz w:val="23"/>
          <w:szCs w:val="23"/>
          <w:lang w:val="pt-BR"/>
        </w:rPr>
      </w:pPr>
    </w:p>
    <w:p w:rsidR="00FE5AF6" w:rsidRDefault="00FE5AF6" w:rsidP="00FE5AF6">
      <w:pPr>
        <w:ind w:right="-283"/>
        <w:jc w:val="both"/>
        <w:rPr>
          <w:color w:val="000000"/>
          <w:sz w:val="23"/>
          <w:szCs w:val="23"/>
          <w:lang w:val="pt-BR"/>
        </w:rPr>
      </w:pPr>
    </w:p>
    <w:p w:rsidR="005912C4" w:rsidRPr="00FE5AF6" w:rsidRDefault="005912C4" w:rsidP="00FE5AF6">
      <w:pPr>
        <w:ind w:right="-283"/>
        <w:jc w:val="both"/>
        <w:rPr>
          <w:color w:val="000000"/>
          <w:sz w:val="23"/>
          <w:szCs w:val="23"/>
          <w:lang w:val="pt-BR"/>
        </w:rPr>
      </w:pPr>
    </w:p>
    <w:p w:rsidR="00FE5AF6" w:rsidRPr="00FE5AF6" w:rsidRDefault="00FE5AF6" w:rsidP="00FE5AF6">
      <w:pPr>
        <w:autoSpaceDE w:val="0"/>
        <w:autoSpaceDN w:val="0"/>
        <w:adjustRightInd w:val="0"/>
        <w:rPr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FE5AF6" w:rsidRPr="005C1B6D" w:rsidTr="00B04301">
        <w:tc>
          <w:tcPr>
            <w:tcW w:w="4322" w:type="dxa"/>
          </w:tcPr>
          <w:p w:rsidR="00FE5AF6" w:rsidRPr="00991004" w:rsidRDefault="00FE5AF6" w:rsidP="00B04301">
            <w:pPr>
              <w:pStyle w:val="Style1"/>
              <w:kinsoku w:val="0"/>
              <w:autoSpaceDE/>
              <w:adjustRightInd/>
              <w:ind w:right="57"/>
              <w:jc w:val="center"/>
              <w:rPr>
                <w:rFonts w:ascii="Arial" w:hAnsi="Arial" w:cs="Arial"/>
                <w:color w:val="000000"/>
              </w:rPr>
            </w:pPr>
            <w:r w:rsidRPr="00991004">
              <w:rPr>
                <w:rStyle w:val="CharacterStyle1"/>
                <w:rFonts w:ascii="Arial" w:hAnsi="Arial" w:cs="Arial"/>
                <w:spacing w:val="-5"/>
                <w:w w:val="105"/>
                <w:sz w:val="24"/>
                <w:szCs w:val="22"/>
                <w:vertAlign w:val="superscript"/>
              </w:rPr>
              <w:t>Local e Data</w:t>
            </w:r>
          </w:p>
        </w:tc>
      </w:tr>
    </w:tbl>
    <w:p w:rsidR="00FE5AF6" w:rsidRDefault="00FE5AF6" w:rsidP="00FE5AF6">
      <w:pPr>
        <w:ind w:right="-283"/>
        <w:jc w:val="both"/>
        <w:rPr>
          <w:color w:val="000000"/>
        </w:rPr>
      </w:pPr>
    </w:p>
    <w:p w:rsidR="00C60A31" w:rsidRDefault="00C60A31" w:rsidP="00FE5AF6">
      <w:pPr>
        <w:ind w:right="-283"/>
        <w:jc w:val="both"/>
        <w:rPr>
          <w:color w:val="000000"/>
        </w:rPr>
      </w:pPr>
    </w:p>
    <w:p w:rsidR="005912C4" w:rsidRDefault="005912C4" w:rsidP="00FE5AF6">
      <w:pPr>
        <w:ind w:right="-283"/>
        <w:jc w:val="both"/>
        <w:rPr>
          <w:color w:val="000000"/>
        </w:rPr>
      </w:pPr>
    </w:p>
    <w:p w:rsidR="00FE5AF6" w:rsidRPr="005C1B6D" w:rsidRDefault="00FE5AF6" w:rsidP="00FE5AF6">
      <w:pPr>
        <w:ind w:right="-283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FE5AF6" w:rsidRPr="005C1B6D" w:rsidTr="00B04301">
        <w:tc>
          <w:tcPr>
            <w:tcW w:w="4322" w:type="dxa"/>
          </w:tcPr>
          <w:p w:rsidR="00FE5AF6" w:rsidRPr="00991004" w:rsidRDefault="00FE5AF6" w:rsidP="00B04301">
            <w:pPr>
              <w:pStyle w:val="Style1"/>
              <w:kinsoku w:val="0"/>
              <w:autoSpaceDE/>
              <w:adjustRightInd/>
              <w:ind w:right="57"/>
              <w:jc w:val="center"/>
              <w:rPr>
                <w:rFonts w:ascii="Arial" w:hAnsi="Arial" w:cs="Arial"/>
                <w:color w:val="000000"/>
              </w:rPr>
            </w:pPr>
            <w:r w:rsidRPr="00991004">
              <w:rPr>
                <w:rStyle w:val="CharacterStyle1"/>
                <w:rFonts w:ascii="Arial" w:hAnsi="Arial" w:cs="Arial"/>
                <w:spacing w:val="-5"/>
                <w:w w:val="105"/>
                <w:sz w:val="24"/>
                <w:szCs w:val="22"/>
                <w:vertAlign w:val="superscript"/>
              </w:rPr>
              <w:t>Assinatura do Participante</w:t>
            </w:r>
          </w:p>
        </w:tc>
      </w:tr>
    </w:tbl>
    <w:p w:rsidR="00FE5AF6" w:rsidRDefault="00FE5AF6" w:rsidP="00FE5AF6">
      <w:pPr>
        <w:ind w:right="-283"/>
        <w:jc w:val="both"/>
        <w:rPr>
          <w:color w:val="000000"/>
          <w:sz w:val="23"/>
          <w:szCs w:val="23"/>
        </w:rPr>
      </w:pPr>
    </w:p>
    <w:p w:rsidR="00FE5AF6" w:rsidRDefault="00FE5AF6" w:rsidP="00FE5AF6">
      <w:pPr>
        <w:ind w:right="-283"/>
        <w:jc w:val="both"/>
        <w:rPr>
          <w:color w:val="000000"/>
          <w:sz w:val="23"/>
          <w:szCs w:val="23"/>
        </w:rPr>
      </w:pPr>
    </w:p>
    <w:p w:rsidR="005912C4" w:rsidRDefault="005912C4" w:rsidP="00FE5AF6">
      <w:pPr>
        <w:ind w:right="-283"/>
        <w:jc w:val="both"/>
        <w:rPr>
          <w:color w:val="000000"/>
          <w:sz w:val="23"/>
          <w:szCs w:val="23"/>
        </w:rPr>
      </w:pPr>
    </w:p>
    <w:p w:rsidR="00C60A31" w:rsidRDefault="00C60A31" w:rsidP="00FE5AF6">
      <w:pPr>
        <w:ind w:right="-283"/>
        <w:jc w:val="both"/>
        <w:rPr>
          <w:color w:val="000000"/>
          <w:sz w:val="23"/>
          <w:szCs w:val="23"/>
        </w:rPr>
      </w:pP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FE5AF6" w:rsidRPr="00881660" w:rsidTr="00B04301">
        <w:tc>
          <w:tcPr>
            <w:tcW w:w="4322" w:type="dxa"/>
          </w:tcPr>
          <w:p w:rsidR="00FE5AF6" w:rsidRPr="005C1B6D" w:rsidRDefault="00FE5AF6" w:rsidP="00B04301">
            <w:pPr>
              <w:pStyle w:val="Style1"/>
              <w:kinsoku w:val="0"/>
              <w:autoSpaceDE/>
              <w:adjustRightInd/>
              <w:ind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haracterStyle1"/>
                <w:rFonts w:ascii="Arial" w:hAnsi="Arial" w:cs="Arial"/>
                <w:spacing w:val="-5"/>
                <w:w w:val="105"/>
                <w:sz w:val="24"/>
                <w:szCs w:val="22"/>
                <w:vertAlign w:val="superscript"/>
              </w:rPr>
              <w:t>Pelo SERGUS</w:t>
            </w:r>
            <w:r w:rsidR="00476632">
              <w:rPr>
                <w:rStyle w:val="CharacterStyle1"/>
                <w:rFonts w:ascii="Arial" w:hAnsi="Arial" w:cs="Arial"/>
                <w:spacing w:val="-5"/>
                <w:w w:val="105"/>
                <w:sz w:val="24"/>
                <w:szCs w:val="22"/>
                <w:vertAlign w:val="superscript"/>
              </w:rPr>
              <w:t xml:space="preserve"> </w:t>
            </w:r>
            <w:r>
              <w:rPr>
                <w:rStyle w:val="CharacterStyle1"/>
                <w:rFonts w:ascii="Arial" w:hAnsi="Arial" w:cs="Arial"/>
                <w:spacing w:val="-5"/>
                <w:w w:val="105"/>
                <w:sz w:val="24"/>
                <w:szCs w:val="22"/>
                <w:vertAlign w:val="superscript"/>
              </w:rPr>
              <w:t>(CARIMBO E ASSINATURA)</w:t>
            </w:r>
          </w:p>
        </w:tc>
      </w:tr>
    </w:tbl>
    <w:p w:rsidR="00FE5AF6" w:rsidRPr="00FE5AF6" w:rsidRDefault="00FE5AF6" w:rsidP="00FE5AF6">
      <w:pPr>
        <w:ind w:right="-283"/>
        <w:jc w:val="right"/>
        <w:rPr>
          <w:i/>
          <w:color w:val="000000"/>
          <w:sz w:val="14"/>
          <w:szCs w:val="16"/>
          <w:lang w:val="pt-BR"/>
        </w:rPr>
      </w:pPr>
    </w:p>
    <w:p w:rsidR="00FE5AF6" w:rsidRDefault="00FE5AF6" w:rsidP="00FE5AF6">
      <w:pPr>
        <w:ind w:right="-283"/>
        <w:jc w:val="right"/>
        <w:rPr>
          <w:i/>
          <w:color w:val="000000"/>
          <w:sz w:val="14"/>
          <w:szCs w:val="16"/>
          <w:lang w:val="pt-BR"/>
        </w:rPr>
      </w:pPr>
    </w:p>
    <w:p w:rsidR="00C60A31" w:rsidRDefault="00C60A31" w:rsidP="00FE5AF6">
      <w:pPr>
        <w:ind w:right="-283"/>
        <w:jc w:val="right"/>
        <w:rPr>
          <w:i/>
          <w:color w:val="000000"/>
          <w:sz w:val="14"/>
          <w:szCs w:val="16"/>
          <w:lang w:val="pt-BR"/>
        </w:rPr>
      </w:pPr>
    </w:p>
    <w:p w:rsidR="00C60A31" w:rsidRDefault="00C60A31" w:rsidP="00FE5AF6">
      <w:pPr>
        <w:ind w:right="-283"/>
        <w:jc w:val="right"/>
        <w:rPr>
          <w:i/>
          <w:color w:val="000000"/>
          <w:sz w:val="14"/>
          <w:szCs w:val="16"/>
          <w:lang w:val="pt-BR"/>
        </w:rPr>
      </w:pPr>
    </w:p>
    <w:p w:rsidR="00C60A31" w:rsidRDefault="00C60A31" w:rsidP="00FE5AF6">
      <w:pPr>
        <w:ind w:right="-283"/>
        <w:jc w:val="right"/>
        <w:rPr>
          <w:i/>
          <w:color w:val="000000"/>
          <w:sz w:val="14"/>
          <w:szCs w:val="16"/>
          <w:lang w:val="pt-BR"/>
        </w:rPr>
      </w:pPr>
    </w:p>
    <w:p w:rsidR="00C60A31" w:rsidRDefault="00C60A31" w:rsidP="00FE5AF6">
      <w:pPr>
        <w:ind w:right="-283"/>
        <w:jc w:val="right"/>
        <w:rPr>
          <w:i/>
          <w:color w:val="000000"/>
          <w:sz w:val="14"/>
          <w:szCs w:val="16"/>
          <w:lang w:val="pt-BR"/>
        </w:rPr>
      </w:pPr>
    </w:p>
    <w:p w:rsidR="00C60A31" w:rsidRDefault="00C60A31" w:rsidP="00FE5AF6">
      <w:pPr>
        <w:ind w:right="-283"/>
        <w:jc w:val="right"/>
        <w:rPr>
          <w:i/>
          <w:color w:val="000000"/>
          <w:sz w:val="14"/>
          <w:szCs w:val="16"/>
          <w:lang w:val="pt-BR"/>
        </w:rPr>
      </w:pPr>
    </w:p>
    <w:p w:rsidR="00C60A31" w:rsidRDefault="00C60A31" w:rsidP="00FE5AF6">
      <w:pPr>
        <w:ind w:right="-283"/>
        <w:jc w:val="right"/>
        <w:rPr>
          <w:i/>
          <w:color w:val="000000"/>
          <w:sz w:val="14"/>
          <w:szCs w:val="16"/>
          <w:lang w:val="pt-BR"/>
        </w:rPr>
      </w:pPr>
    </w:p>
    <w:p w:rsidR="00C60A31" w:rsidRDefault="00C60A31" w:rsidP="00FE5AF6">
      <w:pPr>
        <w:ind w:right="-283"/>
        <w:jc w:val="right"/>
        <w:rPr>
          <w:i/>
          <w:color w:val="000000"/>
          <w:sz w:val="14"/>
          <w:szCs w:val="16"/>
          <w:lang w:val="pt-BR"/>
        </w:rPr>
      </w:pPr>
    </w:p>
    <w:p w:rsidR="00C60A31" w:rsidRDefault="00C60A31" w:rsidP="00FE5AF6">
      <w:pPr>
        <w:ind w:right="-283"/>
        <w:jc w:val="right"/>
        <w:rPr>
          <w:i/>
          <w:color w:val="000000"/>
          <w:sz w:val="14"/>
          <w:szCs w:val="16"/>
          <w:lang w:val="pt-BR"/>
        </w:rPr>
      </w:pPr>
    </w:p>
    <w:p w:rsidR="00C60A31" w:rsidRDefault="00C60A31" w:rsidP="00FE5AF6">
      <w:pPr>
        <w:ind w:right="-283"/>
        <w:jc w:val="right"/>
        <w:rPr>
          <w:i/>
          <w:color w:val="000000"/>
          <w:sz w:val="14"/>
          <w:szCs w:val="16"/>
          <w:lang w:val="pt-BR"/>
        </w:rPr>
      </w:pPr>
    </w:p>
    <w:p w:rsidR="00C60A31" w:rsidRDefault="00C60A31" w:rsidP="00FE5AF6">
      <w:pPr>
        <w:ind w:right="-283"/>
        <w:jc w:val="right"/>
        <w:rPr>
          <w:i/>
          <w:color w:val="000000"/>
          <w:sz w:val="14"/>
          <w:szCs w:val="16"/>
          <w:lang w:val="pt-BR"/>
        </w:rPr>
      </w:pPr>
    </w:p>
    <w:p w:rsidR="00FE5AF6" w:rsidRPr="00FD2B48" w:rsidRDefault="00FE5AF6">
      <w:pPr>
        <w:spacing w:after="200" w:line="276" w:lineRule="auto"/>
        <w:rPr>
          <w:i/>
          <w:color w:val="000000"/>
          <w:sz w:val="14"/>
          <w:szCs w:val="16"/>
          <w:lang w:val="pt-BR"/>
        </w:rPr>
      </w:pPr>
    </w:p>
    <w:tbl>
      <w:tblPr>
        <w:tblpPr w:leftFromText="141" w:rightFromText="141" w:vertAnchor="text" w:horzAnchor="page" w:tblpX="705" w:tblpY="-40"/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E5AF6" w:rsidRPr="00881660" w:rsidTr="00133391">
        <w:trPr>
          <w:trHeight w:val="74"/>
        </w:trPr>
        <w:tc>
          <w:tcPr>
            <w:tcW w:w="10206" w:type="dxa"/>
            <w:gridSpan w:val="2"/>
          </w:tcPr>
          <w:p w:rsidR="00FE5AF6" w:rsidRDefault="00975920" w:rsidP="00975920">
            <w:pPr>
              <w:pStyle w:val="Corpodetexto"/>
              <w:spacing w:after="0"/>
              <w:ind w:left="601"/>
              <w:jc w:val="center"/>
              <w:rPr>
                <w:b/>
                <w:bCs/>
                <w:color w:val="auto"/>
                <w:szCs w:val="26"/>
                <w:lang w:val="pt-BR"/>
              </w:rPr>
            </w:pPr>
            <w:r w:rsidRPr="00975920">
              <w:rPr>
                <w:b/>
                <w:bCs/>
                <w:color w:val="auto"/>
                <w:szCs w:val="26"/>
                <w:lang w:val="pt-BR"/>
              </w:rPr>
              <w:lastRenderedPageBreak/>
              <w:t>ESCLARECIMENTOS SOBRE OS REGIMES DE TRIBUTAÇÃO DO IRRF</w:t>
            </w:r>
          </w:p>
          <w:p w:rsidR="00133391" w:rsidRDefault="00133391" w:rsidP="00975920">
            <w:pPr>
              <w:pStyle w:val="Corpodetexto"/>
              <w:spacing w:after="0"/>
              <w:ind w:left="601"/>
              <w:jc w:val="center"/>
              <w:rPr>
                <w:b/>
                <w:bCs/>
                <w:color w:val="auto"/>
                <w:szCs w:val="26"/>
                <w:lang w:val="pt-BR"/>
              </w:rPr>
            </w:pPr>
          </w:p>
          <w:p w:rsidR="00133391" w:rsidRPr="00FE5AF6" w:rsidRDefault="00133391" w:rsidP="00975920">
            <w:pPr>
              <w:pStyle w:val="Corpodetexto"/>
              <w:spacing w:after="0"/>
              <w:ind w:left="601"/>
              <w:jc w:val="center"/>
              <w:rPr>
                <w:rFonts w:ascii="Trebuchet MS" w:eastAsiaTheme="minorEastAsia" w:hAnsi="Trebuchet MS" w:cstheme="minorBidi"/>
                <w:b/>
                <w:bCs/>
                <w:sz w:val="2"/>
                <w:szCs w:val="16"/>
                <w:lang w:val="pt-BR"/>
              </w:rPr>
            </w:pPr>
          </w:p>
        </w:tc>
      </w:tr>
      <w:tr w:rsidR="00FE5AF6" w:rsidRPr="00881660" w:rsidTr="00D75DE9">
        <w:trPr>
          <w:trHeight w:val="12210"/>
        </w:trPr>
        <w:tc>
          <w:tcPr>
            <w:tcW w:w="5103" w:type="dxa"/>
          </w:tcPr>
          <w:p w:rsidR="00FE5AF6" w:rsidRPr="00D75DE9" w:rsidRDefault="00FE5AF6" w:rsidP="00975920">
            <w:pPr>
              <w:pStyle w:val="Corpodetexto"/>
              <w:jc w:val="both"/>
              <w:rPr>
                <w:rFonts w:ascii="Trebuchet MS" w:eastAsia="Arial Unicode MS" w:hAnsi="Trebuchet MS" w:cs="Arial Unicode MS"/>
                <w:b/>
                <w:bCs/>
                <w:color w:val="auto"/>
                <w:sz w:val="16"/>
                <w:szCs w:val="16"/>
                <w:lang w:val="pt-BR" w:eastAsia="pt-BR"/>
              </w:rPr>
            </w:pPr>
            <w:r w:rsidRPr="00D75DE9">
              <w:rPr>
                <w:rFonts w:ascii="Trebuchet MS" w:eastAsia="Arial Unicode MS" w:hAnsi="Trebuchet MS" w:cs="Arial Unicode MS"/>
                <w:b/>
                <w:bCs/>
                <w:color w:val="auto"/>
                <w:sz w:val="16"/>
                <w:szCs w:val="16"/>
                <w:lang w:val="pt-BR" w:eastAsia="pt-BR"/>
              </w:rPr>
              <w:t>INFORMAÇÕES GERAIS</w:t>
            </w:r>
          </w:p>
          <w:p w:rsidR="00FE5AF6" w:rsidRPr="00D75DE9" w:rsidRDefault="00FE5AF6" w:rsidP="00975920">
            <w:pPr>
              <w:pStyle w:val="Corpodetexto"/>
              <w:jc w:val="both"/>
              <w:rPr>
                <w:rFonts w:ascii="Trebuchet MS" w:eastAsiaTheme="minorEastAsia" w:hAnsi="Trebuchet MS" w:cstheme="minorBidi"/>
                <w:bCs/>
                <w:color w:val="auto"/>
                <w:sz w:val="16"/>
                <w:szCs w:val="16"/>
                <w:lang w:val="pt-BR"/>
              </w:rPr>
            </w:pPr>
            <w:r w:rsidRPr="00D75DE9">
              <w:rPr>
                <w:rFonts w:ascii="Trebuchet MS" w:eastAsiaTheme="minorEastAsia" w:hAnsi="Trebuchet MS" w:cstheme="minorBidi"/>
                <w:bCs/>
                <w:color w:val="auto"/>
                <w:sz w:val="16"/>
                <w:szCs w:val="16"/>
                <w:lang w:val="pt-BR"/>
              </w:rPr>
              <w:t xml:space="preserve">Para o planejamento da aposentadoria, além de poupar e investir seus recursos no longo prazo, o Participante deve ficar atento ao benefício fiscal. </w:t>
            </w:r>
          </w:p>
          <w:p w:rsidR="00FE5AF6" w:rsidRPr="00D75DE9" w:rsidRDefault="00FE5AF6" w:rsidP="00975920">
            <w:pPr>
              <w:pStyle w:val="Corpodetexto"/>
              <w:jc w:val="both"/>
              <w:rPr>
                <w:rFonts w:ascii="Trebuchet MS" w:eastAsiaTheme="minorEastAsia" w:hAnsi="Trebuchet MS" w:cstheme="minorBidi"/>
                <w:bCs/>
                <w:color w:val="auto"/>
                <w:sz w:val="16"/>
                <w:szCs w:val="16"/>
                <w:lang w:val="pt-BR"/>
              </w:rPr>
            </w:pPr>
            <w:r w:rsidRPr="00D75DE9">
              <w:rPr>
                <w:rFonts w:ascii="Trebuchet MS" w:eastAsiaTheme="minorEastAsia" w:hAnsi="Trebuchet MS" w:cstheme="minorBidi"/>
                <w:bCs/>
                <w:color w:val="auto"/>
                <w:sz w:val="16"/>
                <w:szCs w:val="16"/>
                <w:lang w:val="pt-BR"/>
              </w:rPr>
              <w:t>Isso significa aproveitar as deduções permitidas por lei, que podem reduzir seu imposto de renda a pagar, ou aumentar o imposto a restituir.</w:t>
            </w:r>
          </w:p>
          <w:p w:rsidR="00FE5AF6" w:rsidRPr="00D75DE9" w:rsidRDefault="00FE5AF6" w:rsidP="00975920">
            <w:pPr>
              <w:pStyle w:val="Corpodetexto"/>
              <w:jc w:val="both"/>
              <w:rPr>
                <w:rFonts w:ascii="Trebuchet MS" w:eastAsiaTheme="minorEastAsia" w:hAnsi="Trebuchet MS" w:cstheme="minorBidi"/>
                <w:bCs/>
                <w:color w:val="auto"/>
                <w:sz w:val="16"/>
                <w:szCs w:val="16"/>
                <w:lang w:val="pt-BR"/>
              </w:rPr>
            </w:pPr>
            <w:r w:rsidRPr="00D75DE9">
              <w:rPr>
                <w:rFonts w:ascii="Trebuchet MS" w:eastAsiaTheme="minorEastAsia" w:hAnsi="Trebuchet MS" w:cstheme="minorBidi"/>
                <w:bCs/>
                <w:color w:val="auto"/>
                <w:sz w:val="16"/>
                <w:szCs w:val="16"/>
                <w:lang w:val="pt-BR"/>
              </w:rPr>
              <w:t>Se você declara pelo modelo completo, pode deduzir as suas contribuições da base de cálculo do imposto, até o limite de 12% de sua renda bruta tributável anual.</w:t>
            </w:r>
          </w:p>
          <w:p w:rsidR="00FE5AF6" w:rsidRPr="00D75DE9" w:rsidRDefault="00FE5AF6" w:rsidP="00975920">
            <w:pPr>
              <w:pStyle w:val="PargrafodaLista"/>
              <w:numPr>
                <w:ilvl w:val="0"/>
                <w:numId w:val="7"/>
              </w:numPr>
              <w:spacing w:before="40"/>
              <w:ind w:left="0" w:firstLine="0"/>
              <w:contextualSpacing w:val="0"/>
              <w:jc w:val="both"/>
              <w:rPr>
                <w:rFonts w:ascii="Trebuchet MS" w:hAnsi="Trebuchet MS"/>
                <w:color w:val="auto"/>
                <w:sz w:val="16"/>
                <w:szCs w:val="16"/>
                <w:lang w:val="pt-BR"/>
              </w:rPr>
            </w:pPr>
            <w:r w:rsidRPr="00D75DE9">
              <w:rPr>
                <w:rFonts w:ascii="Trebuchet MS" w:hAnsi="Trebuchet MS"/>
                <w:color w:val="auto"/>
                <w:sz w:val="16"/>
                <w:szCs w:val="16"/>
                <w:lang w:val="pt-BR"/>
              </w:rPr>
              <w:t>A dedução máxima permitida por Lei na Declaração de Ajuste Anual do Imposto de Renda é de 12% da renda bruta anual tributável, desde que o Participante seja Contribuinte do Regime Oficial de Previdência Social (INSS).</w:t>
            </w:r>
          </w:p>
          <w:p w:rsidR="00FD2B48" w:rsidRPr="00D75DE9" w:rsidRDefault="00FD2B48" w:rsidP="00975920">
            <w:pPr>
              <w:pStyle w:val="PargrafodaLista"/>
              <w:spacing w:before="40"/>
              <w:ind w:left="0"/>
              <w:contextualSpacing w:val="0"/>
              <w:jc w:val="both"/>
              <w:rPr>
                <w:rFonts w:ascii="Trebuchet MS" w:hAnsi="Trebuchet MS"/>
                <w:color w:val="auto"/>
                <w:sz w:val="16"/>
                <w:szCs w:val="16"/>
                <w:lang w:val="pt-BR"/>
              </w:rPr>
            </w:pPr>
          </w:p>
          <w:p w:rsidR="00FE5AF6" w:rsidRPr="00D75DE9" w:rsidRDefault="00FE5AF6" w:rsidP="00975920">
            <w:pPr>
              <w:pStyle w:val="Corpodetexto"/>
              <w:jc w:val="both"/>
              <w:rPr>
                <w:rFonts w:ascii="Trebuchet MS" w:eastAsiaTheme="minorEastAsia" w:hAnsi="Trebuchet MS" w:cstheme="minorBidi"/>
                <w:bCs/>
                <w:color w:val="auto"/>
                <w:sz w:val="16"/>
                <w:szCs w:val="16"/>
                <w:lang w:val="pt-BR"/>
              </w:rPr>
            </w:pPr>
            <w:r w:rsidRPr="00D75DE9">
              <w:rPr>
                <w:rFonts w:ascii="Trebuchet MS" w:eastAsiaTheme="minorEastAsia" w:hAnsi="Trebuchet MS" w:cstheme="minorBidi"/>
                <w:bCs/>
                <w:color w:val="auto"/>
                <w:sz w:val="16"/>
                <w:szCs w:val="16"/>
                <w:lang w:val="pt-BR"/>
              </w:rPr>
              <w:t>Por outro lado, você está sujeito ao pagamento de imposto de renda ao entrar em gozo de benefício, ou ao requerer o Resgate de contribuições.</w:t>
            </w:r>
          </w:p>
          <w:p w:rsidR="00FE5AF6" w:rsidRPr="00D75DE9" w:rsidRDefault="00FE5AF6" w:rsidP="00975920">
            <w:pPr>
              <w:pStyle w:val="Corpodetexto"/>
              <w:jc w:val="both"/>
              <w:rPr>
                <w:rFonts w:ascii="Trebuchet MS" w:eastAsiaTheme="minorEastAsia" w:hAnsi="Trebuchet MS" w:cstheme="minorBidi"/>
                <w:bCs/>
                <w:color w:val="auto"/>
                <w:sz w:val="16"/>
                <w:szCs w:val="16"/>
                <w:lang w:val="pt-BR"/>
              </w:rPr>
            </w:pPr>
            <w:r w:rsidRPr="00D75DE9">
              <w:rPr>
                <w:rFonts w:ascii="Trebuchet MS" w:eastAsiaTheme="minorEastAsia" w:hAnsi="Trebuchet MS" w:cstheme="minorBidi"/>
                <w:bCs/>
                <w:color w:val="auto"/>
                <w:sz w:val="16"/>
                <w:szCs w:val="16"/>
                <w:lang w:val="pt-BR"/>
              </w:rPr>
              <w:t xml:space="preserve">No ato da adesão ao Plano de </w:t>
            </w:r>
            <w:r w:rsidR="00FD2B48" w:rsidRPr="00D75DE9">
              <w:rPr>
                <w:rFonts w:ascii="Trebuchet MS" w:eastAsiaTheme="minorEastAsia" w:hAnsi="Trebuchet MS" w:cstheme="minorBidi"/>
                <w:bCs/>
                <w:color w:val="auto"/>
                <w:sz w:val="16"/>
                <w:szCs w:val="16"/>
                <w:lang w:val="pt-BR"/>
              </w:rPr>
              <w:t>Benefício</w:t>
            </w:r>
            <w:r w:rsidRPr="00D75DE9">
              <w:rPr>
                <w:rFonts w:ascii="Trebuchet MS" w:eastAsiaTheme="minorEastAsia" w:hAnsi="Trebuchet MS" w:cstheme="minorBidi"/>
                <w:bCs/>
                <w:color w:val="auto"/>
                <w:sz w:val="16"/>
                <w:szCs w:val="16"/>
                <w:lang w:val="pt-BR"/>
              </w:rPr>
              <w:t xml:space="preserve"> SERGUS CD, o Participante deverá optar pelo Regime de Tributação estabelecido pela Lei nº 11.053/04. Essa decisão é </w:t>
            </w:r>
            <w:r w:rsidRPr="00D75DE9">
              <w:rPr>
                <w:rFonts w:ascii="Trebuchet MS" w:eastAsiaTheme="minorEastAsia" w:hAnsi="Trebuchet MS" w:cstheme="minorBidi"/>
                <w:b/>
                <w:bCs/>
                <w:color w:val="auto"/>
                <w:sz w:val="16"/>
                <w:szCs w:val="16"/>
                <w:u w:val="single"/>
                <w:lang w:val="pt-BR"/>
              </w:rPr>
              <w:t>definitiva</w:t>
            </w:r>
            <w:r w:rsidRPr="00D75DE9">
              <w:rPr>
                <w:rFonts w:ascii="Trebuchet MS" w:eastAsiaTheme="minorEastAsia" w:hAnsi="Trebuchet MS" w:cstheme="minorBidi"/>
                <w:bCs/>
                <w:color w:val="auto"/>
                <w:sz w:val="16"/>
                <w:szCs w:val="16"/>
                <w:lang w:val="pt-BR"/>
              </w:rPr>
              <w:t>, não podendo ser alterada posteriormente, por isso reflita com a máxima atenção.</w:t>
            </w:r>
          </w:p>
          <w:p w:rsidR="00FE5AF6" w:rsidRPr="00D75DE9" w:rsidRDefault="00FE5AF6" w:rsidP="00975920">
            <w:pPr>
              <w:pStyle w:val="Corpodetexto"/>
              <w:jc w:val="both"/>
              <w:rPr>
                <w:rFonts w:ascii="Trebuchet MS" w:eastAsia="Arial Unicode MS" w:hAnsi="Trebuchet MS" w:cs="Arial Unicode MS"/>
                <w:b/>
                <w:bCs/>
                <w:color w:val="auto"/>
                <w:sz w:val="16"/>
                <w:szCs w:val="16"/>
                <w:lang w:val="pt-BR" w:eastAsia="pt-BR"/>
              </w:rPr>
            </w:pPr>
            <w:r w:rsidRPr="00D75DE9">
              <w:rPr>
                <w:rFonts w:ascii="Trebuchet MS" w:eastAsia="Arial Unicode MS" w:hAnsi="Trebuchet MS" w:cs="Arial Unicode MS"/>
                <w:b/>
                <w:bCs/>
                <w:color w:val="auto"/>
                <w:sz w:val="16"/>
                <w:szCs w:val="16"/>
                <w:lang w:val="pt-BR" w:eastAsia="pt-BR"/>
              </w:rPr>
              <w:t>REGIME PROGRESSIVO</w:t>
            </w:r>
          </w:p>
          <w:p w:rsidR="00FE5AF6" w:rsidRPr="00D75DE9" w:rsidRDefault="00FE5AF6" w:rsidP="00975920">
            <w:pPr>
              <w:pStyle w:val="Corpodetexto"/>
              <w:jc w:val="both"/>
              <w:rPr>
                <w:rFonts w:ascii="Trebuchet MS" w:eastAsiaTheme="minorEastAsia" w:hAnsi="Trebuchet MS" w:cstheme="minorBidi"/>
                <w:bCs/>
                <w:color w:val="auto"/>
                <w:sz w:val="16"/>
                <w:szCs w:val="16"/>
                <w:lang w:val="pt-BR"/>
              </w:rPr>
            </w:pPr>
            <w:r w:rsidRPr="00D75DE9">
              <w:rPr>
                <w:rFonts w:ascii="Trebuchet MS" w:eastAsiaTheme="minorEastAsia" w:hAnsi="Trebuchet MS" w:cstheme="minorBidi"/>
                <w:bCs/>
                <w:color w:val="auto"/>
                <w:sz w:val="16"/>
                <w:szCs w:val="16"/>
                <w:lang w:val="pt-BR"/>
              </w:rPr>
              <w:t xml:space="preserve">Ao receber o Resgate ou qualquer benefício assegurado pelo Plano SERGUS CD, aplicam-se as alíquotas progressivas sobre a base de incidência, conforme as faixas de renda do Imposto de Renda de Pessoa Física (IRPF), disponível no site da Receita Federal: </w:t>
            </w:r>
            <w:hyperlink r:id="rId9" w:history="1">
              <w:r w:rsidRPr="00D75DE9">
                <w:rPr>
                  <w:rStyle w:val="Hyperlink"/>
                  <w:rFonts w:ascii="Trebuchet MS" w:eastAsiaTheme="minorEastAsia" w:hAnsi="Trebuchet MS" w:cstheme="minorBidi"/>
                  <w:bCs/>
                  <w:color w:val="auto"/>
                  <w:sz w:val="16"/>
                  <w:szCs w:val="16"/>
                  <w:lang w:val="pt-BR"/>
                </w:rPr>
                <w:t>www.receita.fazenda.gov.br</w:t>
              </w:r>
            </w:hyperlink>
            <w:r w:rsidRPr="00D75DE9">
              <w:rPr>
                <w:rFonts w:ascii="Trebuchet MS" w:eastAsiaTheme="minorEastAsia" w:hAnsi="Trebuchet MS" w:cstheme="minorBidi"/>
                <w:bCs/>
                <w:color w:val="auto"/>
                <w:sz w:val="16"/>
                <w:szCs w:val="16"/>
                <w:lang w:val="pt-BR"/>
              </w:rPr>
              <w:t>.</w:t>
            </w:r>
          </w:p>
          <w:tbl>
            <w:tblPr>
              <w:tblW w:w="4801" w:type="dxa"/>
              <w:tblInd w:w="172" w:type="dxa"/>
              <w:tblBorders>
                <w:top w:val="single" w:sz="8" w:space="0" w:color="000080"/>
                <w:left w:val="single" w:sz="8" w:space="0" w:color="000080"/>
                <w:bottom w:val="single" w:sz="8" w:space="0" w:color="000080"/>
                <w:right w:val="single" w:sz="8" w:space="0" w:color="000080"/>
                <w:insideH w:val="single" w:sz="8" w:space="0" w:color="000080"/>
                <w:insideV w:val="single" w:sz="8" w:space="0" w:color="00008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0"/>
              <w:gridCol w:w="1030"/>
              <w:gridCol w:w="1241"/>
            </w:tblGrid>
            <w:tr w:rsidR="00FE5AF6" w:rsidRPr="00881660" w:rsidTr="00975920">
              <w:trPr>
                <w:trHeight w:val="572"/>
              </w:trPr>
              <w:tc>
                <w:tcPr>
                  <w:tcW w:w="2530" w:type="dxa"/>
                  <w:shd w:val="clear" w:color="auto" w:fill="C0C0C0"/>
                  <w:vAlign w:val="center"/>
                </w:tcPr>
                <w:p w:rsidR="00FE5AF6" w:rsidRPr="00D75DE9" w:rsidRDefault="00FE5AF6" w:rsidP="00881660">
                  <w:pPr>
                    <w:pStyle w:val="Corpodetexto3"/>
                    <w:framePr w:hSpace="141" w:wrap="around" w:vAnchor="text" w:hAnchor="page" w:x="705" w:y="-40"/>
                    <w:spacing w:before="40" w:line="240" w:lineRule="auto"/>
                    <w:ind w:left="-36"/>
                    <w:jc w:val="center"/>
                    <w:rPr>
                      <w:rFonts w:ascii="Trebuchet MS" w:hAnsi="Trebuchet MS"/>
                      <w:b/>
                      <w:bCs/>
                      <w:color w:val="000080"/>
                    </w:rPr>
                  </w:pPr>
                  <w:r w:rsidRPr="00D75DE9">
                    <w:rPr>
                      <w:rFonts w:ascii="Trebuchet MS" w:hAnsi="Trebuchet MS"/>
                      <w:b/>
                      <w:bCs/>
                      <w:color w:val="000080"/>
                    </w:rPr>
                    <w:t>Base de Cálculo (R$)</w:t>
                  </w:r>
                </w:p>
              </w:tc>
              <w:tc>
                <w:tcPr>
                  <w:tcW w:w="1030" w:type="dxa"/>
                  <w:shd w:val="clear" w:color="auto" w:fill="C0C0C0"/>
                  <w:vAlign w:val="center"/>
                </w:tcPr>
                <w:p w:rsidR="00FE5AF6" w:rsidRPr="00D75DE9" w:rsidRDefault="00FE5AF6" w:rsidP="00881660">
                  <w:pPr>
                    <w:pStyle w:val="Corpodetexto3"/>
                    <w:framePr w:hSpace="141" w:wrap="around" w:vAnchor="text" w:hAnchor="page" w:x="705" w:y="-40"/>
                    <w:spacing w:before="40" w:line="240" w:lineRule="auto"/>
                    <w:ind w:left="-70"/>
                    <w:jc w:val="center"/>
                    <w:rPr>
                      <w:rFonts w:ascii="Trebuchet MS" w:hAnsi="Trebuchet MS"/>
                      <w:b/>
                      <w:bCs/>
                      <w:color w:val="000080"/>
                    </w:rPr>
                  </w:pPr>
                  <w:r w:rsidRPr="00D75DE9">
                    <w:rPr>
                      <w:rFonts w:ascii="Trebuchet MS" w:hAnsi="Trebuchet MS"/>
                      <w:b/>
                      <w:bCs/>
                      <w:color w:val="000080"/>
                    </w:rPr>
                    <w:t>Alíquota (%)</w:t>
                  </w:r>
                </w:p>
              </w:tc>
              <w:tc>
                <w:tcPr>
                  <w:tcW w:w="1241" w:type="dxa"/>
                  <w:shd w:val="clear" w:color="auto" w:fill="C0C0C0"/>
                  <w:vAlign w:val="center"/>
                </w:tcPr>
                <w:p w:rsidR="00FE5AF6" w:rsidRPr="00D75DE9" w:rsidRDefault="00FE5AF6" w:rsidP="00881660">
                  <w:pPr>
                    <w:pStyle w:val="Corpodetexto3"/>
                    <w:framePr w:hSpace="141" w:wrap="around" w:vAnchor="text" w:hAnchor="page" w:x="705" w:y="-40"/>
                    <w:spacing w:before="4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0080"/>
                    </w:rPr>
                  </w:pPr>
                  <w:r w:rsidRPr="00D75DE9">
                    <w:rPr>
                      <w:rFonts w:ascii="Trebuchet MS" w:hAnsi="Trebuchet MS"/>
                      <w:b/>
                      <w:bCs/>
                      <w:color w:val="000080"/>
                    </w:rPr>
                    <w:t>Parcela a deduzir do Imposto (R$)</w:t>
                  </w:r>
                </w:p>
              </w:tc>
            </w:tr>
            <w:tr w:rsidR="00FE5AF6" w:rsidRPr="00881660" w:rsidTr="00975920">
              <w:trPr>
                <w:trHeight w:val="251"/>
              </w:trPr>
              <w:tc>
                <w:tcPr>
                  <w:tcW w:w="2530" w:type="dxa"/>
                </w:tcPr>
                <w:p w:rsidR="00FE5AF6" w:rsidRPr="00D75DE9" w:rsidRDefault="00FE5AF6" w:rsidP="00881660">
                  <w:pPr>
                    <w:pStyle w:val="NormalWeb"/>
                    <w:framePr w:hSpace="141" w:wrap="around" w:vAnchor="text" w:hAnchor="page" w:x="705" w:y="-40"/>
                    <w:tabs>
                      <w:tab w:val="left" w:pos="2977"/>
                    </w:tabs>
                    <w:spacing w:before="40" w:beforeAutospacing="0" w:after="0" w:afterAutospacing="0"/>
                    <w:ind w:left="-36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Até R$ 1.903,98</w:t>
                  </w:r>
                </w:p>
              </w:tc>
              <w:tc>
                <w:tcPr>
                  <w:tcW w:w="1030" w:type="dxa"/>
                </w:tcPr>
                <w:p w:rsidR="00FE5AF6" w:rsidRPr="00D75DE9" w:rsidRDefault="00FE5AF6" w:rsidP="00881660">
                  <w:pPr>
                    <w:pStyle w:val="NormalWeb"/>
                    <w:framePr w:hSpace="141" w:wrap="around" w:vAnchor="text" w:hAnchor="page" w:x="705" w:y="-40"/>
                    <w:tabs>
                      <w:tab w:val="left" w:pos="2977"/>
                    </w:tabs>
                    <w:spacing w:before="40" w:beforeAutospacing="0" w:after="0" w:afterAutospacing="0"/>
                    <w:ind w:left="-70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</w:tcPr>
                <w:p w:rsidR="00FE5AF6" w:rsidRPr="00D75DE9" w:rsidRDefault="00FE5AF6" w:rsidP="00881660">
                  <w:pPr>
                    <w:pStyle w:val="NormalWeb"/>
                    <w:framePr w:hSpace="141" w:wrap="around" w:vAnchor="text" w:hAnchor="page" w:x="705" w:y="-40"/>
                    <w:tabs>
                      <w:tab w:val="left" w:pos="2977"/>
                    </w:tabs>
                    <w:spacing w:before="40" w:beforeAutospacing="0" w:after="0" w:afterAutospacing="0"/>
                    <w:ind w:left="601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</w:tc>
            </w:tr>
            <w:tr w:rsidR="00FE5AF6" w:rsidRPr="00881660" w:rsidTr="00975920">
              <w:trPr>
                <w:trHeight w:val="270"/>
              </w:trPr>
              <w:tc>
                <w:tcPr>
                  <w:tcW w:w="2530" w:type="dxa"/>
                </w:tcPr>
                <w:p w:rsidR="00FE5AF6" w:rsidRPr="00D75DE9" w:rsidRDefault="00FE5AF6" w:rsidP="00881660">
                  <w:pPr>
                    <w:pStyle w:val="NormalWeb"/>
                    <w:framePr w:hSpace="141" w:wrap="around" w:vAnchor="text" w:hAnchor="page" w:x="705" w:y="-40"/>
                    <w:tabs>
                      <w:tab w:val="left" w:pos="2977"/>
                    </w:tabs>
                    <w:spacing w:before="40" w:beforeAutospacing="0" w:after="0" w:afterAutospacing="0"/>
                    <w:ind w:left="-36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Entre R$ 1.903,99 e R$ 2.826,65</w:t>
                  </w:r>
                </w:p>
              </w:tc>
              <w:tc>
                <w:tcPr>
                  <w:tcW w:w="1030" w:type="dxa"/>
                </w:tcPr>
                <w:p w:rsidR="00FE5AF6" w:rsidRPr="00D75DE9" w:rsidRDefault="00FE5AF6" w:rsidP="00881660">
                  <w:pPr>
                    <w:pStyle w:val="NormalWeb"/>
                    <w:framePr w:hSpace="141" w:wrap="around" w:vAnchor="text" w:hAnchor="page" w:x="705" w:y="-40"/>
                    <w:tabs>
                      <w:tab w:val="left" w:pos="2977"/>
                    </w:tabs>
                    <w:spacing w:before="40" w:beforeAutospacing="0" w:after="0" w:afterAutospacing="0"/>
                    <w:ind w:left="-70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7,5</w:t>
                  </w:r>
                </w:p>
              </w:tc>
              <w:tc>
                <w:tcPr>
                  <w:tcW w:w="1241" w:type="dxa"/>
                </w:tcPr>
                <w:p w:rsidR="00FE5AF6" w:rsidRPr="00D75DE9" w:rsidRDefault="00FE5AF6" w:rsidP="00881660">
                  <w:pPr>
                    <w:pStyle w:val="NormalWeb"/>
                    <w:framePr w:hSpace="141" w:wrap="around" w:vAnchor="text" w:hAnchor="page" w:x="705" w:y="-40"/>
                    <w:tabs>
                      <w:tab w:val="left" w:pos="2977"/>
                    </w:tabs>
                    <w:spacing w:before="40" w:beforeAutospacing="0" w:after="0" w:afterAutospacing="0"/>
                    <w:ind w:left="-130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R$ 142,80</w:t>
                  </w:r>
                </w:p>
              </w:tc>
            </w:tr>
            <w:tr w:rsidR="00FE5AF6" w:rsidRPr="00881660" w:rsidTr="00975920">
              <w:trPr>
                <w:trHeight w:val="251"/>
              </w:trPr>
              <w:tc>
                <w:tcPr>
                  <w:tcW w:w="2530" w:type="dxa"/>
                </w:tcPr>
                <w:p w:rsidR="00FE5AF6" w:rsidRPr="00D75DE9" w:rsidRDefault="00FE5AF6" w:rsidP="00881660">
                  <w:pPr>
                    <w:pStyle w:val="NormalWeb"/>
                    <w:framePr w:hSpace="141" w:wrap="around" w:vAnchor="text" w:hAnchor="page" w:x="705" w:y="-40"/>
                    <w:tabs>
                      <w:tab w:val="left" w:pos="2977"/>
                    </w:tabs>
                    <w:spacing w:before="40" w:beforeAutospacing="0" w:after="0" w:afterAutospacing="0"/>
                    <w:ind w:left="-36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Entre R$ 2.826,66 e R$ 3.751,05</w:t>
                  </w:r>
                </w:p>
              </w:tc>
              <w:tc>
                <w:tcPr>
                  <w:tcW w:w="1030" w:type="dxa"/>
                </w:tcPr>
                <w:p w:rsidR="00FE5AF6" w:rsidRPr="00D75DE9" w:rsidRDefault="00FE5AF6" w:rsidP="00881660">
                  <w:pPr>
                    <w:pStyle w:val="NormalWeb"/>
                    <w:framePr w:hSpace="141" w:wrap="around" w:vAnchor="text" w:hAnchor="page" w:x="705" w:y="-40"/>
                    <w:tabs>
                      <w:tab w:val="left" w:pos="2977"/>
                    </w:tabs>
                    <w:spacing w:before="40" w:beforeAutospacing="0" w:after="0" w:afterAutospacing="0"/>
                    <w:ind w:left="-70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1241" w:type="dxa"/>
                </w:tcPr>
                <w:p w:rsidR="00FE5AF6" w:rsidRPr="00D75DE9" w:rsidRDefault="00FE5AF6" w:rsidP="00881660">
                  <w:pPr>
                    <w:pStyle w:val="NormalWeb"/>
                    <w:framePr w:hSpace="141" w:wrap="around" w:vAnchor="text" w:hAnchor="page" w:x="705" w:y="-40"/>
                    <w:tabs>
                      <w:tab w:val="left" w:pos="2977"/>
                    </w:tabs>
                    <w:spacing w:before="40" w:beforeAutospacing="0" w:after="0" w:afterAutospacing="0"/>
                    <w:ind w:left="-130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R$ 345,80</w:t>
                  </w:r>
                </w:p>
              </w:tc>
            </w:tr>
            <w:tr w:rsidR="00FE5AF6" w:rsidRPr="00881660" w:rsidTr="00975920">
              <w:trPr>
                <w:trHeight w:val="251"/>
              </w:trPr>
              <w:tc>
                <w:tcPr>
                  <w:tcW w:w="2530" w:type="dxa"/>
                </w:tcPr>
                <w:p w:rsidR="00FE5AF6" w:rsidRPr="00D75DE9" w:rsidRDefault="00FE5AF6" w:rsidP="00881660">
                  <w:pPr>
                    <w:pStyle w:val="NormalWeb"/>
                    <w:framePr w:hSpace="141" w:wrap="around" w:vAnchor="text" w:hAnchor="page" w:x="705" w:y="-40"/>
                    <w:tabs>
                      <w:tab w:val="left" w:pos="2977"/>
                    </w:tabs>
                    <w:spacing w:before="40" w:beforeAutospacing="0" w:after="0" w:afterAutospacing="0"/>
                    <w:ind w:left="-36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Entre R$ 3.751,06 e R$ 4.664,67</w:t>
                  </w:r>
                </w:p>
              </w:tc>
              <w:tc>
                <w:tcPr>
                  <w:tcW w:w="1030" w:type="dxa"/>
                </w:tcPr>
                <w:p w:rsidR="00FE5AF6" w:rsidRPr="00D75DE9" w:rsidRDefault="00FE5AF6" w:rsidP="00881660">
                  <w:pPr>
                    <w:pStyle w:val="NormalWeb"/>
                    <w:framePr w:hSpace="141" w:wrap="around" w:vAnchor="text" w:hAnchor="page" w:x="705" w:y="-40"/>
                    <w:tabs>
                      <w:tab w:val="left" w:pos="2977"/>
                    </w:tabs>
                    <w:spacing w:before="40" w:beforeAutospacing="0" w:after="0" w:afterAutospacing="0"/>
                    <w:ind w:left="-70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22,5</w:t>
                  </w:r>
                </w:p>
              </w:tc>
              <w:tc>
                <w:tcPr>
                  <w:tcW w:w="1241" w:type="dxa"/>
                </w:tcPr>
                <w:p w:rsidR="00FE5AF6" w:rsidRPr="00D75DE9" w:rsidRDefault="00FE5AF6" w:rsidP="00881660">
                  <w:pPr>
                    <w:pStyle w:val="NormalWeb"/>
                    <w:framePr w:hSpace="141" w:wrap="around" w:vAnchor="text" w:hAnchor="page" w:x="705" w:y="-40"/>
                    <w:tabs>
                      <w:tab w:val="left" w:pos="2977"/>
                    </w:tabs>
                    <w:spacing w:before="40" w:beforeAutospacing="0" w:after="0" w:afterAutospacing="0"/>
                    <w:ind w:left="-130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R$ 636,13</w:t>
                  </w:r>
                </w:p>
              </w:tc>
            </w:tr>
            <w:tr w:rsidR="00FE5AF6" w:rsidRPr="00881660" w:rsidTr="00975920">
              <w:trPr>
                <w:trHeight w:val="270"/>
              </w:trPr>
              <w:tc>
                <w:tcPr>
                  <w:tcW w:w="2530" w:type="dxa"/>
                </w:tcPr>
                <w:p w:rsidR="00FE5AF6" w:rsidRPr="00D75DE9" w:rsidRDefault="00FE5AF6" w:rsidP="00881660">
                  <w:pPr>
                    <w:pStyle w:val="NormalWeb"/>
                    <w:framePr w:hSpace="141" w:wrap="around" w:vAnchor="text" w:hAnchor="page" w:x="705" w:y="-40"/>
                    <w:tabs>
                      <w:tab w:val="left" w:pos="2977"/>
                    </w:tabs>
                    <w:spacing w:before="40" w:beforeAutospacing="0" w:after="0" w:afterAutospacing="0"/>
                    <w:ind w:left="-36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Acima de R$ 4.664,68</w:t>
                  </w:r>
                </w:p>
              </w:tc>
              <w:tc>
                <w:tcPr>
                  <w:tcW w:w="1030" w:type="dxa"/>
                </w:tcPr>
                <w:p w:rsidR="00FE5AF6" w:rsidRPr="00D75DE9" w:rsidRDefault="00FE5AF6" w:rsidP="00881660">
                  <w:pPr>
                    <w:pStyle w:val="NormalWeb"/>
                    <w:framePr w:hSpace="141" w:wrap="around" w:vAnchor="text" w:hAnchor="page" w:x="705" w:y="-40"/>
                    <w:tabs>
                      <w:tab w:val="left" w:pos="2977"/>
                    </w:tabs>
                    <w:spacing w:before="40" w:beforeAutospacing="0" w:after="0" w:afterAutospacing="0"/>
                    <w:ind w:left="-36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27,5</w:t>
                  </w:r>
                </w:p>
              </w:tc>
              <w:tc>
                <w:tcPr>
                  <w:tcW w:w="1241" w:type="dxa"/>
                </w:tcPr>
                <w:p w:rsidR="00FE5AF6" w:rsidRPr="00D75DE9" w:rsidRDefault="00FE5AF6" w:rsidP="00881660">
                  <w:pPr>
                    <w:pStyle w:val="NormalWeb"/>
                    <w:framePr w:hSpace="141" w:wrap="around" w:vAnchor="text" w:hAnchor="page" w:x="705" w:y="-40"/>
                    <w:tabs>
                      <w:tab w:val="left" w:pos="2977"/>
                    </w:tabs>
                    <w:spacing w:before="40" w:beforeAutospacing="0" w:after="0" w:afterAutospacing="0"/>
                    <w:ind w:left="-36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R$ 869,36</w:t>
                  </w:r>
                </w:p>
              </w:tc>
            </w:tr>
          </w:tbl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0" w:beforeAutospacing="0" w:after="120" w:afterAutospacing="0"/>
              <w:ind w:left="743"/>
              <w:jc w:val="right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D75DE9">
              <w:rPr>
                <w:rFonts w:ascii="Trebuchet MS" w:hAnsi="Trebuchet MS" w:cs="Arial"/>
                <w:b/>
                <w:sz w:val="16"/>
                <w:szCs w:val="16"/>
              </w:rPr>
              <w:t xml:space="preserve">* Tabela do ano calendário 2016. </w:t>
            </w:r>
          </w:p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120" w:beforeAutospacing="0" w:after="120" w:afterAutospacing="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D75DE9">
              <w:rPr>
                <w:rFonts w:ascii="Trebuchet MS" w:hAnsi="Trebuchet MS" w:cs="Arial"/>
                <w:sz w:val="16"/>
                <w:szCs w:val="16"/>
              </w:rPr>
              <w:t>O valor da parcela a ser paga é que determina a alíquota a ser aplicada. Na base de cálculo podem ser deduzidos os valores previstos em lei, quais sejam: R$ 189,59 por cada dependente legal; e R$ 1.903,98 para os maiores de 65 anos. (base: 2016)</w:t>
            </w:r>
          </w:p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120" w:beforeAutospacing="0" w:after="0" w:afterAutospacing="0"/>
              <w:jc w:val="both"/>
              <w:rPr>
                <w:rFonts w:ascii="Trebuchet MS" w:eastAsiaTheme="minorEastAsia" w:hAnsi="Trebuchet MS" w:cstheme="minorBidi"/>
                <w:bCs/>
                <w:sz w:val="16"/>
                <w:szCs w:val="16"/>
              </w:rPr>
            </w:pPr>
            <w:r w:rsidRPr="00D75DE9">
              <w:rPr>
                <w:rFonts w:ascii="Trebuchet MS" w:hAnsi="Trebuchet MS" w:cs="Arial"/>
                <w:sz w:val="16"/>
                <w:szCs w:val="16"/>
              </w:rPr>
              <w:t xml:space="preserve">Na Declaração de Ajuste Anual, o Participante fará a compensação do valor do IRRF o que poderá acarretar restituição ou complementação do valor de imposto de renda devido. </w:t>
            </w:r>
            <w:r w:rsidRPr="00D75DE9">
              <w:rPr>
                <w:rFonts w:ascii="Trebuchet MS" w:eastAsiaTheme="minorEastAsia" w:hAnsi="Trebuchet MS" w:cstheme="minorBidi"/>
                <w:bCs/>
                <w:sz w:val="16"/>
                <w:szCs w:val="16"/>
              </w:rPr>
              <w:t xml:space="preserve">O imposto retido na fonte (IRRF) é considerado como antecipação do que restar devido em sua declaração anual. </w:t>
            </w:r>
          </w:p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120" w:beforeAutospacing="0" w:after="0" w:afterAutospacing="0"/>
              <w:jc w:val="both"/>
              <w:rPr>
                <w:rFonts w:ascii="Trebuchet MS" w:eastAsiaTheme="minorEastAsia" w:hAnsi="Trebuchet MS" w:cstheme="minorBidi"/>
                <w:bCs/>
                <w:sz w:val="16"/>
                <w:szCs w:val="16"/>
              </w:rPr>
            </w:pPr>
            <w:r w:rsidRPr="00D75DE9">
              <w:rPr>
                <w:rFonts w:ascii="Trebuchet MS" w:eastAsiaTheme="minorEastAsia" w:hAnsi="Trebuchet MS" w:cstheme="minorBidi"/>
                <w:bCs/>
                <w:sz w:val="16"/>
                <w:szCs w:val="16"/>
              </w:rPr>
              <w:t>O Resgate está sujeito à retenção de 15% de IR na fonte, independentemente do valor, e eventual compensação será feita na declaração de ajuste anual.</w:t>
            </w:r>
          </w:p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0" w:beforeAutospacing="0" w:after="0" w:afterAutospacing="0"/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0" w:beforeAutospacing="0" w:after="0" w:afterAutospacing="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D75DE9">
              <w:rPr>
                <w:rFonts w:ascii="Trebuchet MS" w:hAnsi="Trebuchet MS" w:cs="Arial"/>
                <w:sz w:val="16"/>
                <w:szCs w:val="16"/>
              </w:rPr>
              <w:t>Em caso de opção pela Portabilidade, não há incidência de IR.</w:t>
            </w:r>
          </w:p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0" w:beforeAutospacing="0" w:after="0" w:afterAutospacing="0"/>
              <w:jc w:val="both"/>
              <w:rPr>
                <w:rFonts w:ascii="Trebuchet MS" w:eastAsiaTheme="minorEastAsia" w:hAnsi="Trebuchet MS" w:cstheme="minorBidi"/>
                <w:b/>
                <w:bCs/>
                <w:sz w:val="16"/>
                <w:szCs w:val="16"/>
              </w:rPr>
            </w:pPr>
          </w:p>
          <w:p w:rsidR="00FE5AF6" w:rsidRPr="00D75DE9" w:rsidRDefault="00FE5AF6" w:rsidP="00975920">
            <w:pPr>
              <w:pStyle w:val="Corpodetexto"/>
              <w:jc w:val="both"/>
              <w:rPr>
                <w:rFonts w:ascii="Trebuchet MS" w:eastAsiaTheme="minorEastAsia" w:hAnsi="Trebuchet MS" w:cstheme="minorBidi"/>
                <w:b/>
                <w:bCs/>
                <w:color w:val="auto"/>
                <w:sz w:val="16"/>
                <w:szCs w:val="16"/>
                <w:lang w:val="pt-BR"/>
              </w:rPr>
            </w:pPr>
            <w:r w:rsidRPr="00D75DE9">
              <w:rPr>
                <w:rFonts w:ascii="Trebuchet MS" w:eastAsiaTheme="minorEastAsia" w:hAnsi="Trebuchet MS" w:cstheme="minorBidi"/>
                <w:b/>
                <w:bCs/>
                <w:color w:val="auto"/>
                <w:sz w:val="16"/>
                <w:szCs w:val="16"/>
                <w:lang w:val="pt-BR"/>
              </w:rPr>
              <w:t>REGIME REGRESSIVO</w:t>
            </w:r>
          </w:p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75DE9">
              <w:rPr>
                <w:rFonts w:ascii="Trebuchet MS" w:hAnsi="Trebuchet MS" w:cs="Arial"/>
                <w:sz w:val="16"/>
                <w:szCs w:val="16"/>
              </w:rPr>
              <w:t>Ao receber o resgate ou benefício, aplicam-se alíquotas diferenciadas de cobrança de Imposto de Renda, reduzidas a cada</w:t>
            </w:r>
          </w:p>
        </w:tc>
        <w:tc>
          <w:tcPr>
            <w:tcW w:w="5103" w:type="dxa"/>
          </w:tcPr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120" w:beforeAutospacing="0" w:after="120" w:afterAutospacing="0"/>
              <w:ind w:left="601"/>
              <w:jc w:val="both"/>
              <w:rPr>
                <w:rFonts w:ascii="Trebuchet MS" w:hAnsi="Trebuchet MS" w:cs="Arial"/>
                <w:sz w:val="16"/>
                <w:szCs w:val="16"/>
              </w:rPr>
            </w:pPr>
            <w:proofErr w:type="gramStart"/>
            <w:r w:rsidRPr="00D75DE9">
              <w:rPr>
                <w:rFonts w:ascii="Trebuchet MS" w:hAnsi="Trebuchet MS" w:cs="Arial"/>
                <w:sz w:val="16"/>
                <w:szCs w:val="16"/>
              </w:rPr>
              <w:t>dois</w:t>
            </w:r>
            <w:proofErr w:type="gramEnd"/>
            <w:r w:rsidRPr="00D75DE9">
              <w:rPr>
                <w:rFonts w:ascii="Trebuchet MS" w:hAnsi="Trebuchet MS" w:cs="Arial"/>
                <w:sz w:val="16"/>
                <w:szCs w:val="16"/>
              </w:rPr>
              <w:t xml:space="preserve"> anos, de acordo com o prazo de permanência da contribuição no Plano, conforme mostra a tabela a seguir:</w:t>
            </w:r>
          </w:p>
          <w:tbl>
            <w:tblPr>
              <w:tblW w:w="4336" w:type="dxa"/>
              <w:tblInd w:w="333" w:type="dxa"/>
              <w:tblBorders>
                <w:top w:val="single" w:sz="8" w:space="0" w:color="000080"/>
                <w:left w:val="single" w:sz="8" w:space="0" w:color="000080"/>
                <w:bottom w:val="single" w:sz="8" w:space="0" w:color="000080"/>
                <w:right w:val="single" w:sz="8" w:space="0" w:color="000080"/>
                <w:insideH w:val="single" w:sz="8" w:space="0" w:color="000080"/>
                <w:insideV w:val="single" w:sz="8" w:space="0" w:color="00008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8"/>
              <w:gridCol w:w="1288"/>
            </w:tblGrid>
            <w:tr w:rsidR="00975920" w:rsidRPr="00D75DE9" w:rsidTr="00975920">
              <w:trPr>
                <w:trHeight w:val="255"/>
              </w:trPr>
              <w:tc>
                <w:tcPr>
                  <w:tcW w:w="3048" w:type="dxa"/>
                  <w:shd w:val="clear" w:color="auto" w:fill="C0C0C0"/>
                </w:tcPr>
                <w:p w:rsidR="00975920" w:rsidRPr="00D75DE9" w:rsidRDefault="00975920" w:rsidP="00881660">
                  <w:pPr>
                    <w:pStyle w:val="Corpodetexto2"/>
                    <w:framePr w:hSpace="141" w:wrap="around" w:vAnchor="text" w:hAnchor="page" w:x="705" w:y="-40"/>
                    <w:spacing w:before="20" w:after="20" w:line="240" w:lineRule="auto"/>
                    <w:jc w:val="center"/>
                    <w:rPr>
                      <w:rFonts w:ascii="Trebuchet MS" w:hAnsi="Trebuchet MS" w:cs="Arial"/>
                      <w:color w:val="000080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b/>
                      <w:bCs/>
                      <w:color w:val="000080"/>
                      <w:sz w:val="16"/>
                      <w:szCs w:val="16"/>
                    </w:rPr>
                    <w:t>Prazo de Acumulação das Quotas</w:t>
                  </w:r>
                </w:p>
              </w:tc>
              <w:tc>
                <w:tcPr>
                  <w:tcW w:w="1288" w:type="dxa"/>
                  <w:shd w:val="clear" w:color="auto" w:fill="C0C0C0"/>
                </w:tcPr>
                <w:p w:rsidR="00975920" w:rsidRPr="00D75DE9" w:rsidRDefault="00975920" w:rsidP="00881660">
                  <w:pPr>
                    <w:pStyle w:val="Corpodetexto2"/>
                    <w:framePr w:hSpace="141" w:wrap="around" w:vAnchor="text" w:hAnchor="page" w:x="705" w:y="-40"/>
                    <w:spacing w:before="20" w:after="20" w:line="240" w:lineRule="auto"/>
                    <w:ind w:left="-242" w:firstLine="5"/>
                    <w:jc w:val="center"/>
                    <w:rPr>
                      <w:rFonts w:ascii="Trebuchet MS" w:hAnsi="Trebuchet MS" w:cs="Arial"/>
                      <w:color w:val="000080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b/>
                      <w:bCs/>
                      <w:color w:val="000080"/>
                      <w:sz w:val="16"/>
                      <w:szCs w:val="16"/>
                    </w:rPr>
                    <w:t>Alíquota</w:t>
                  </w:r>
                </w:p>
              </w:tc>
            </w:tr>
            <w:tr w:rsidR="00975920" w:rsidRPr="00D75DE9" w:rsidTr="00975920">
              <w:trPr>
                <w:trHeight w:val="255"/>
              </w:trPr>
              <w:tc>
                <w:tcPr>
                  <w:tcW w:w="3048" w:type="dxa"/>
                </w:tcPr>
                <w:p w:rsidR="00975920" w:rsidRPr="00D75DE9" w:rsidRDefault="00975920" w:rsidP="00881660">
                  <w:pPr>
                    <w:pStyle w:val="Corpodetexto2"/>
                    <w:framePr w:hSpace="141" w:wrap="around" w:vAnchor="text" w:hAnchor="page" w:x="705" w:y="-40"/>
                    <w:tabs>
                      <w:tab w:val="center" w:pos="1156"/>
                      <w:tab w:val="left" w:pos="1950"/>
                    </w:tabs>
                    <w:spacing w:after="0" w:line="240" w:lineRule="auto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Até 2 anos</w:t>
                  </w:r>
                </w:p>
              </w:tc>
              <w:tc>
                <w:tcPr>
                  <w:tcW w:w="1288" w:type="dxa"/>
                </w:tcPr>
                <w:p w:rsidR="00975920" w:rsidRPr="00D75DE9" w:rsidRDefault="00975920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ind w:left="-242" w:firstLine="5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35%</w:t>
                  </w:r>
                </w:p>
              </w:tc>
            </w:tr>
            <w:tr w:rsidR="00975920" w:rsidRPr="00D75DE9" w:rsidTr="00975920">
              <w:trPr>
                <w:trHeight w:val="255"/>
              </w:trPr>
              <w:tc>
                <w:tcPr>
                  <w:tcW w:w="3048" w:type="dxa"/>
                </w:tcPr>
                <w:p w:rsidR="00975920" w:rsidRPr="00D75DE9" w:rsidRDefault="00975920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Acima de 2 anos e até 4 anos</w:t>
                  </w:r>
                </w:p>
              </w:tc>
              <w:tc>
                <w:tcPr>
                  <w:tcW w:w="1288" w:type="dxa"/>
                </w:tcPr>
                <w:p w:rsidR="00975920" w:rsidRPr="00D75DE9" w:rsidRDefault="00975920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ind w:left="-242" w:firstLine="5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30%</w:t>
                  </w:r>
                </w:p>
              </w:tc>
            </w:tr>
            <w:tr w:rsidR="00975920" w:rsidRPr="00D75DE9" w:rsidTr="00975920">
              <w:trPr>
                <w:trHeight w:val="255"/>
              </w:trPr>
              <w:tc>
                <w:tcPr>
                  <w:tcW w:w="3048" w:type="dxa"/>
                </w:tcPr>
                <w:p w:rsidR="00975920" w:rsidRPr="00D75DE9" w:rsidRDefault="00975920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Acima de 4 anos e até 6 anos</w:t>
                  </w:r>
                </w:p>
              </w:tc>
              <w:tc>
                <w:tcPr>
                  <w:tcW w:w="1288" w:type="dxa"/>
                </w:tcPr>
                <w:p w:rsidR="00975920" w:rsidRPr="00D75DE9" w:rsidRDefault="00975920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ind w:left="-242" w:firstLine="5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25%</w:t>
                  </w:r>
                </w:p>
              </w:tc>
            </w:tr>
            <w:tr w:rsidR="00975920" w:rsidRPr="00D75DE9" w:rsidTr="00975920">
              <w:trPr>
                <w:trHeight w:val="255"/>
              </w:trPr>
              <w:tc>
                <w:tcPr>
                  <w:tcW w:w="3048" w:type="dxa"/>
                </w:tcPr>
                <w:p w:rsidR="00975920" w:rsidRPr="00D75DE9" w:rsidRDefault="00975920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Acima de 6 anos e até 8 anos</w:t>
                  </w:r>
                </w:p>
              </w:tc>
              <w:tc>
                <w:tcPr>
                  <w:tcW w:w="1288" w:type="dxa"/>
                </w:tcPr>
                <w:p w:rsidR="00975920" w:rsidRPr="00D75DE9" w:rsidRDefault="00975920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ind w:left="-242" w:firstLine="5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20%</w:t>
                  </w:r>
                </w:p>
              </w:tc>
            </w:tr>
            <w:tr w:rsidR="00975920" w:rsidRPr="00881660" w:rsidTr="00975920">
              <w:trPr>
                <w:trHeight w:val="255"/>
              </w:trPr>
              <w:tc>
                <w:tcPr>
                  <w:tcW w:w="3048" w:type="dxa"/>
                </w:tcPr>
                <w:p w:rsidR="00975920" w:rsidRPr="00D75DE9" w:rsidRDefault="00975920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Acima de 8 anos e até 10 anos</w:t>
                  </w:r>
                </w:p>
              </w:tc>
              <w:tc>
                <w:tcPr>
                  <w:tcW w:w="1288" w:type="dxa"/>
                </w:tcPr>
                <w:p w:rsidR="00975920" w:rsidRPr="00D75DE9" w:rsidRDefault="00975920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ind w:left="-242" w:firstLine="5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15%</w:t>
                  </w:r>
                </w:p>
              </w:tc>
            </w:tr>
            <w:tr w:rsidR="00975920" w:rsidRPr="00881660" w:rsidTr="00975920">
              <w:trPr>
                <w:trHeight w:val="255"/>
              </w:trPr>
              <w:tc>
                <w:tcPr>
                  <w:tcW w:w="3048" w:type="dxa"/>
                </w:tcPr>
                <w:p w:rsidR="00975920" w:rsidRPr="00D75DE9" w:rsidRDefault="00975920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Acima de 10 anos</w:t>
                  </w:r>
                </w:p>
              </w:tc>
              <w:tc>
                <w:tcPr>
                  <w:tcW w:w="1288" w:type="dxa"/>
                </w:tcPr>
                <w:p w:rsidR="00975920" w:rsidRPr="00D75DE9" w:rsidRDefault="00975920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ind w:left="-242" w:firstLine="5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10%</w:t>
                  </w:r>
                </w:p>
              </w:tc>
            </w:tr>
          </w:tbl>
          <w:p w:rsidR="00FE5AF6" w:rsidRPr="00D75DE9" w:rsidRDefault="00FE5AF6" w:rsidP="00975920">
            <w:pPr>
              <w:pStyle w:val="Recuodecorpodetexto"/>
              <w:spacing w:before="120" w:line="240" w:lineRule="auto"/>
              <w:ind w:left="601"/>
              <w:rPr>
                <w:rFonts w:ascii="Trebuchet MS" w:eastAsia="Arial Unicode MS" w:hAnsi="Trebuchet MS" w:cs="Arial"/>
                <w:sz w:val="16"/>
                <w:szCs w:val="16"/>
              </w:rPr>
            </w:pPr>
            <w:r w:rsidRPr="00D75DE9">
              <w:rPr>
                <w:rFonts w:ascii="Trebuchet MS" w:eastAsia="Arial Unicode MS" w:hAnsi="Trebuchet MS" w:cs="Arial"/>
                <w:sz w:val="16"/>
                <w:szCs w:val="16"/>
              </w:rPr>
              <w:t>No caso dos benefícios não programados, ou seja, decorrentes de invalidez e morte, as alíquotas são:</w:t>
            </w:r>
          </w:p>
          <w:tbl>
            <w:tblPr>
              <w:tblW w:w="4308" w:type="dxa"/>
              <w:tblInd w:w="409" w:type="dxa"/>
              <w:tblBorders>
                <w:top w:val="single" w:sz="8" w:space="0" w:color="000080"/>
                <w:left w:val="single" w:sz="8" w:space="0" w:color="000080"/>
                <w:bottom w:val="single" w:sz="8" w:space="0" w:color="000080"/>
                <w:right w:val="single" w:sz="8" w:space="0" w:color="000080"/>
                <w:insideH w:val="single" w:sz="8" w:space="0" w:color="000080"/>
                <w:insideV w:val="single" w:sz="8" w:space="0" w:color="00008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3"/>
              <w:gridCol w:w="1115"/>
            </w:tblGrid>
            <w:tr w:rsidR="00FE5AF6" w:rsidRPr="00D75DE9" w:rsidTr="00975920">
              <w:trPr>
                <w:trHeight w:val="255"/>
              </w:trPr>
              <w:tc>
                <w:tcPr>
                  <w:tcW w:w="3193" w:type="dxa"/>
                  <w:shd w:val="clear" w:color="auto" w:fill="C0C0C0"/>
                </w:tcPr>
                <w:p w:rsidR="00FE5AF6" w:rsidRPr="00D75DE9" w:rsidRDefault="00FE5AF6" w:rsidP="00881660">
                  <w:pPr>
                    <w:pStyle w:val="Corpodetexto2"/>
                    <w:framePr w:hSpace="141" w:wrap="around" w:vAnchor="text" w:hAnchor="page" w:x="705" w:y="-40"/>
                    <w:spacing w:before="20" w:after="20" w:line="240" w:lineRule="auto"/>
                    <w:jc w:val="both"/>
                    <w:rPr>
                      <w:rFonts w:ascii="Trebuchet MS" w:hAnsi="Trebuchet MS" w:cs="Arial"/>
                      <w:color w:val="000080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b/>
                      <w:bCs/>
                      <w:color w:val="000080"/>
                      <w:sz w:val="16"/>
                      <w:szCs w:val="16"/>
                    </w:rPr>
                    <w:t>Prazo de Acumulação das Quotas</w:t>
                  </w:r>
                </w:p>
              </w:tc>
              <w:tc>
                <w:tcPr>
                  <w:tcW w:w="1115" w:type="dxa"/>
                  <w:shd w:val="clear" w:color="auto" w:fill="C0C0C0"/>
                </w:tcPr>
                <w:p w:rsidR="00FE5AF6" w:rsidRPr="00D75DE9" w:rsidRDefault="00FE5AF6" w:rsidP="00881660">
                  <w:pPr>
                    <w:pStyle w:val="Corpodetexto2"/>
                    <w:framePr w:hSpace="141" w:wrap="around" w:vAnchor="text" w:hAnchor="page" w:x="705" w:y="-40"/>
                    <w:spacing w:before="20" w:after="20" w:line="240" w:lineRule="auto"/>
                    <w:ind w:left="-115"/>
                    <w:jc w:val="center"/>
                    <w:rPr>
                      <w:rFonts w:ascii="Trebuchet MS" w:hAnsi="Trebuchet MS" w:cs="Arial"/>
                      <w:color w:val="000080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b/>
                      <w:bCs/>
                      <w:color w:val="000080"/>
                      <w:sz w:val="16"/>
                      <w:szCs w:val="16"/>
                    </w:rPr>
                    <w:t>Alíquota</w:t>
                  </w:r>
                </w:p>
              </w:tc>
            </w:tr>
            <w:tr w:rsidR="00FE5AF6" w:rsidRPr="00D75DE9" w:rsidTr="00975920">
              <w:trPr>
                <w:trHeight w:val="255"/>
              </w:trPr>
              <w:tc>
                <w:tcPr>
                  <w:tcW w:w="3193" w:type="dxa"/>
                </w:tcPr>
                <w:p w:rsidR="00FE5AF6" w:rsidRPr="00D75DE9" w:rsidRDefault="00FE5AF6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jc w:val="both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Até 6 anos</w:t>
                  </w:r>
                </w:p>
              </w:tc>
              <w:tc>
                <w:tcPr>
                  <w:tcW w:w="1115" w:type="dxa"/>
                </w:tcPr>
                <w:p w:rsidR="00FE5AF6" w:rsidRPr="00D75DE9" w:rsidRDefault="00FE5AF6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ind w:left="-115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25%</w:t>
                  </w:r>
                </w:p>
              </w:tc>
            </w:tr>
            <w:tr w:rsidR="00FE5AF6" w:rsidRPr="00D75DE9" w:rsidTr="00975920">
              <w:trPr>
                <w:trHeight w:val="255"/>
              </w:trPr>
              <w:tc>
                <w:tcPr>
                  <w:tcW w:w="3193" w:type="dxa"/>
                </w:tcPr>
                <w:p w:rsidR="00FE5AF6" w:rsidRPr="00D75DE9" w:rsidRDefault="00FE5AF6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jc w:val="both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Acima de 6 anos e até 8 anos</w:t>
                  </w:r>
                </w:p>
              </w:tc>
              <w:tc>
                <w:tcPr>
                  <w:tcW w:w="1115" w:type="dxa"/>
                </w:tcPr>
                <w:p w:rsidR="00FE5AF6" w:rsidRPr="00D75DE9" w:rsidRDefault="00FE5AF6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ind w:left="-115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20%</w:t>
                  </w:r>
                </w:p>
              </w:tc>
            </w:tr>
            <w:tr w:rsidR="00FE5AF6" w:rsidRPr="00D75DE9" w:rsidTr="00975920">
              <w:trPr>
                <w:trHeight w:val="255"/>
              </w:trPr>
              <w:tc>
                <w:tcPr>
                  <w:tcW w:w="3193" w:type="dxa"/>
                </w:tcPr>
                <w:p w:rsidR="00FE5AF6" w:rsidRPr="00D75DE9" w:rsidRDefault="00FE5AF6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jc w:val="both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Acima de 8 anos e até 10 anos</w:t>
                  </w:r>
                </w:p>
              </w:tc>
              <w:tc>
                <w:tcPr>
                  <w:tcW w:w="1115" w:type="dxa"/>
                </w:tcPr>
                <w:p w:rsidR="00FE5AF6" w:rsidRPr="00D75DE9" w:rsidRDefault="00FE5AF6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ind w:left="-115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15%</w:t>
                  </w:r>
                </w:p>
              </w:tc>
            </w:tr>
            <w:tr w:rsidR="00FE5AF6" w:rsidRPr="00D75DE9" w:rsidTr="00975920">
              <w:trPr>
                <w:trHeight w:val="255"/>
              </w:trPr>
              <w:tc>
                <w:tcPr>
                  <w:tcW w:w="3193" w:type="dxa"/>
                </w:tcPr>
                <w:p w:rsidR="00FE5AF6" w:rsidRPr="00D75DE9" w:rsidRDefault="00FE5AF6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jc w:val="both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Acima de 10 anos</w:t>
                  </w:r>
                </w:p>
              </w:tc>
              <w:tc>
                <w:tcPr>
                  <w:tcW w:w="1115" w:type="dxa"/>
                </w:tcPr>
                <w:p w:rsidR="00FE5AF6" w:rsidRPr="00D75DE9" w:rsidRDefault="00FE5AF6" w:rsidP="00881660">
                  <w:pPr>
                    <w:pStyle w:val="Corpodetexto2"/>
                    <w:framePr w:hSpace="141" w:wrap="around" w:vAnchor="text" w:hAnchor="page" w:x="705" w:y="-40"/>
                    <w:spacing w:after="0" w:line="240" w:lineRule="auto"/>
                    <w:ind w:left="-115"/>
                    <w:jc w:val="center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D75DE9">
                    <w:rPr>
                      <w:rFonts w:ascii="Trebuchet MS" w:hAnsi="Trebuchet MS" w:cs="Arial"/>
                      <w:sz w:val="16"/>
                      <w:szCs w:val="16"/>
                    </w:rPr>
                    <w:t>10%</w:t>
                  </w:r>
                </w:p>
              </w:tc>
            </w:tr>
          </w:tbl>
          <w:p w:rsidR="00FE5AF6" w:rsidRPr="00D75DE9" w:rsidRDefault="00FE5AF6" w:rsidP="0097592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47" w:firstLine="0"/>
              <w:jc w:val="both"/>
              <w:rPr>
                <w:rFonts w:ascii="Trebuchet MS" w:eastAsiaTheme="minorEastAsia" w:hAnsi="Trebuchet MS" w:cs="Arial"/>
                <w:sz w:val="16"/>
                <w:szCs w:val="16"/>
              </w:rPr>
            </w:pPr>
            <w:r w:rsidRPr="00D75DE9">
              <w:rPr>
                <w:rFonts w:ascii="Trebuchet MS" w:eastAsiaTheme="minorEastAsia" w:hAnsi="Trebuchet MS"/>
                <w:b/>
                <w:bCs/>
                <w:sz w:val="16"/>
                <w:szCs w:val="16"/>
              </w:rPr>
              <w:t xml:space="preserve">Prazo de acumulação </w:t>
            </w:r>
            <w:r w:rsidRPr="00D75DE9">
              <w:rPr>
                <w:rFonts w:ascii="Trebuchet MS" w:eastAsiaTheme="minorEastAsia" w:hAnsi="Trebuchet MS"/>
                <w:sz w:val="16"/>
                <w:szCs w:val="16"/>
              </w:rPr>
              <w:t>é</w:t>
            </w:r>
            <w:r w:rsidRPr="00D75DE9">
              <w:rPr>
                <w:rFonts w:ascii="Trebuchet MS" w:eastAsiaTheme="minorEastAsia" w:hAnsi="Trebuchet MS" w:cs="Arial"/>
                <w:sz w:val="16"/>
                <w:szCs w:val="16"/>
              </w:rPr>
              <w:t xml:space="preserve"> o tempo decorrido entre a data da contribuição ao Plano e a data do pagamento das suas reservas (resgate ou benefício). Quanto maior o tempo que as contribuições permanecem no Plano, menor a alíquota de imposto de renda. </w:t>
            </w:r>
          </w:p>
          <w:p w:rsidR="00FE5AF6" w:rsidRPr="00D75DE9" w:rsidRDefault="00FE5AF6" w:rsidP="00975920">
            <w:pPr>
              <w:pStyle w:val="NormalWeb"/>
              <w:spacing w:before="0" w:beforeAutospacing="0" w:after="0" w:afterAutospacing="0"/>
              <w:ind w:left="147"/>
              <w:jc w:val="both"/>
              <w:rPr>
                <w:rFonts w:ascii="Trebuchet MS" w:eastAsiaTheme="minorEastAsia" w:hAnsi="Trebuchet MS" w:cs="Arial"/>
                <w:sz w:val="16"/>
                <w:szCs w:val="16"/>
              </w:rPr>
            </w:pPr>
          </w:p>
          <w:p w:rsidR="00235676" w:rsidRPr="00D75DE9" w:rsidRDefault="00FE5AF6" w:rsidP="00975920">
            <w:pPr>
              <w:pStyle w:val="Recuodecorpodetexto"/>
              <w:spacing w:line="240" w:lineRule="auto"/>
              <w:ind w:left="147"/>
              <w:rPr>
                <w:rFonts w:ascii="Trebuchet MS" w:eastAsia="Arial Unicode MS" w:hAnsi="Trebuchet MS" w:cs="Arial"/>
                <w:sz w:val="16"/>
                <w:szCs w:val="16"/>
              </w:rPr>
            </w:pPr>
            <w:r w:rsidRPr="00D75DE9">
              <w:rPr>
                <w:rFonts w:ascii="Trebuchet MS" w:eastAsia="Arial Unicode MS" w:hAnsi="Trebuchet MS" w:cs="Arial"/>
                <w:sz w:val="16"/>
                <w:szCs w:val="16"/>
              </w:rPr>
              <w:t xml:space="preserve">Neste regime, não são permitidas quaisquer deduções. A tributação é </w:t>
            </w:r>
            <w:r w:rsidRPr="00D75DE9">
              <w:rPr>
                <w:rFonts w:ascii="Trebuchet MS" w:eastAsia="Arial Unicode MS" w:hAnsi="Trebuchet MS" w:cs="Arial"/>
                <w:b/>
                <w:sz w:val="16"/>
                <w:szCs w:val="16"/>
              </w:rPr>
              <w:t>definitiva</w:t>
            </w:r>
            <w:r w:rsidRPr="00D75DE9">
              <w:rPr>
                <w:rFonts w:ascii="Trebuchet MS" w:eastAsia="Arial Unicode MS" w:hAnsi="Trebuchet MS" w:cs="Arial"/>
                <w:sz w:val="16"/>
                <w:szCs w:val="16"/>
              </w:rPr>
              <w:t xml:space="preserve">, ou seja, o IRRF não será passível de restituição ou complementação na Declaração de Ajuste Anual, sendo informado na célula “Renda Tributável Exclusivamente na Fonte”.  </w:t>
            </w:r>
          </w:p>
          <w:p w:rsidR="00235676" w:rsidRPr="00D75DE9" w:rsidRDefault="00235676" w:rsidP="00975920">
            <w:pPr>
              <w:pStyle w:val="Recuodecorpodetexto"/>
              <w:spacing w:line="240" w:lineRule="auto"/>
              <w:ind w:left="147"/>
              <w:rPr>
                <w:rFonts w:ascii="Trebuchet MS" w:eastAsia="Arial Unicode MS" w:hAnsi="Trebuchet MS" w:cs="Arial"/>
                <w:sz w:val="16"/>
                <w:szCs w:val="16"/>
              </w:rPr>
            </w:pPr>
          </w:p>
          <w:p w:rsidR="00FE5AF6" w:rsidRDefault="00FE5AF6" w:rsidP="00975920">
            <w:pPr>
              <w:pStyle w:val="Recuodecorpodetexto"/>
              <w:spacing w:line="240" w:lineRule="auto"/>
              <w:ind w:left="147"/>
              <w:rPr>
                <w:rFonts w:ascii="Trebuchet MS" w:eastAsia="Arial Unicode MS" w:hAnsi="Trebuchet MS" w:cs="Arial Unicode MS"/>
                <w:b/>
                <w:bCs/>
                <w:sz w:val="16"/>
                <w:szCs w:val="16"/>
                <w:lang w:eastAsia="pt-BR"/>
              </w:rPr>
            </w:pPr>
            <w:r w:rsidRPr="00D75DE9">
              <w:rPr>
                <w:rFonts w:ascii="Trebuchet MS" w:eastAsia="Arial Unicode MS" w:hAnsi="Trebuchet MS" w:cs="Arial Unicode MS"/>
                <w:b/>
                <w:bCs/>
                <w:sz w:val="16"/>
                <w:szCs w:val="16"/>
                <w:lang w:eastAsia="pt-BR"/>
              </w:rPr>
              <w:t>DECISÃO DO PARTICIPANTE</w:t>
            </w:r>
          </w:p>
          <w:p w:rsidR="00133391" w:rsidRPr="00D75DE9" w:rsidRDefault="00133391" w:rsidP="00975920">
            <w:pPr>
              <w:pStyle w:val="Recuodecorpodetexto"/>
              <w:spacing w:line="240" w:lineRule="auto"/>
              <w:ind w:left="147"/>
              <w:rPr>
                <w:rFonts w:ascii="Trebuchet MS" w:eastAsia="Arial Unicode MS" w:hAnsi="Trebuchet MS" w:cs="Arial Unicode MS"/>
                <w:b/>
                <w:bCs/>
                <w:sz w:val="16"/>
                <w:szCs w:val="16"/>
                <w:lang w:eastAsia="pt-BR"/>
              </w:rPr>
            </w:pPr>
          </w:p>
          <w:p w:rsidR="00235676" w:rsidRPr="00D75DE9" w:rsidRDefault="00FE5AF6" w:rsidP="00975920">
            <w:pPr>
              <w:pStyle w:val="NormalWeb"/>
              <w:tabs>
                <w:tab w:val="left" w:pos="2977"/>
              </w:tabs>
              <w:spacing w:before="0" w:beforeAutospacing="0" w:after="0" w:afterAutospacing="0"/>
              <w:ind w:left="147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D75DE9">
              <w:rPr>
                <w:rFonts w:ascii="Trebuchet MS" w:hAnsi="Trebuchet MS"/>
                <w:sz w:val="16"/>
                <w:szCs w:val="16"/>
              </w:rPr>
              <w:t xml:space="preserve">É uma decisão obrigatória, que deve ser tomada pelo Participante até o último dia útil do mês </w:t>
            </w:r>
            <w:r w:rsidR="00302653" w:rsidRPr="00D75DE9">
              <w:rPr>
                <w:rFonts w:ascii="Trebuchet MS" w:hAnsi="Trebuchet MS"/>
                <w:sz w:val="16"/>
                <w:szCs w:val="16"/>
              </w:rPr>
              <w:t>subsequente</w:t>
            </w:r>
            <w:r w:rsidRPr="00D75DE9">
              <w:rPr>
                <w:rFonts w:ascii="Trebuchet MS" w:hAnsi="Trebuchet MS"/>
                <w:sz w:val="16"/>
                <w:szCs w:val="16"/>
              </w:rPr>
              <w:t xml:space="preserve"> à data da sua inscrição no Plano. </w:t>
            </w:r>
          </w:p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0" w:beforeAutospacing="0" w:after="0" w:afterAutospacing="0"/>
              <w:ind w:left="147"/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  <w:r w:rsidRPr="00D75DE9">
              <w:rPr>
                <w:rFonts w:ascii="Trebuchet MS" w:hAnsi="Trebuchet MS"/>
                <w:bCs/>
                <w:sz w:val="16"/>
                <w:szCs w:val="16"/>
              </w:rPr>
              <w:t xml:space="preserve">Vale destacar que, uma vez manifestada, a decisão é irretratável, ou seja, você nunca mais poderá mudá-la. </w:t>
            </w:r>
          </w:p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0" w:beforeAutospacing="0" w:after="0" w:afterAutospacing="0"/>
              <w:ind w:left="147"/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</w:p>
          <w:p w:rsidR="00FE5AF6" w:rsidRDefault="00FE5AF6" w:rsidP="00975920">
            <w:pPr>
              <w:pStyle w:val="NormalWeb"/>
              <w:tabs>
                <w:tab w:val="num" w:pos="426"/>
              </w:tabs>
              <w:spacing w:before="60" w:beforeAutospacing="0" w:after="0" w:afterAutospacing="0"/>
              <w:ind w:left="147"/>
              <w:jc w:val="both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D75DE9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QUAL A MELHOR OPÇÃO DE REGIME DE TRIBUTAÇÃO? </w:t>
            </w:r>
          </w:p>
          <w:p w:rsidR="00133391" w:rsidRPr="00D75DE9" w:rsidRDefault="00133391" w:rsidP="00975920">
            <w:pPr>
              <w:pStyle w:val="NormalWeb"/>
              <w:tabs>
                <w:tab w:val="num" w:pos="426"/>
              </w:tabs>
              <w:spacing w:before="60" w:beforeAutospacing="0" w:after="0" w:afterAutospacing="0"/>
              <w:ind w:left="147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0" w:beforeAutospacing="0" w:after="0" w:afterAutospacing="0"/>
              <w:ind w:left="147"/>
              <w:jc w:val="both"/>
              <w:rPr>
                <w:rFonts w:ascii="Trebuchet MS" w:eastAsiaTheme="minorEastAsia" w:hAnsi="Trebuchet MS" w:cstheme="minorBidi"/>
                <w:bCs/>
                <w:sz w:val="16"/>
                <w:szCs w:val="16"/>
              </w:rPr>
            </w:pPr>
            <w:r w:rsidRPr="00D75DE9">
              <w:rPr>
                <w:rFonts w:ascii="Trebuchet MS" w:hAnsi="Trebuchet MS"/>
                <w:bCs/>
                <w:sz w:val="16"/>
                <w:szCs w:val="16"/>
              </w:rPr>
              <w:t>Cada um deve analisar os prós e contras de cada regime de acordo com a sua situação. De acordo com a Lei 11.053, a sua opção tem caráter irretratável. Por isso, essa é uma decisão que deve ser avaliada com cuidado.</w:t>
            </w:r>
          </w:p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0" w:beforeAutospacing="0" w:after="0" w:afterAutospacing="0"/>
              <w:ind w:left="147"/>
              <w:jc w:val="both"/>
              <w:rPr>
                <w:rFonts w:ascii="Trebuchet MS" w:eastAsiaTheme="minorEastAsia" w:hAnsi="Trebuchet MS" w:cstheme="minorBidi"/>
                <w:bCs/>
                <w:sz w:val="16"/>
                <w:szCs w:val="16"/>
              </w:rPr>
            </w:pPr>
          </w:p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0" w:beforeAutospacing="0" w:after="0" w:afterAutospacing="0"/>
              <w:ind w:left="147"/>
              <w:jc w:val="both"/>
              <w:rPr>
                <w:rFonts w:ascii="Trebuchet MS" w:eastAsiaTheme="minorEastAsia" w:hAnsi="Trebuchet MS" w:cstheme="minorBidi"/>
                <w:bCs/>
                <w:sz w:val="16"/>
                <w:szCs w:val="16"/>
              </w:rPr>
            </w:pPr>
            <w:r w:rsidRPr="00D75DE9">
              <w:rPr>
                <w:rFonts w:ascii="Trebuchet MS" w:eastAsiaTheme="minorEastAsia" w:hAnsi="Trebuchet MS" w:cstheme="minorBidi"/>
                <w:bCs/>
                <w:sz w:val="16"/>
                <w:szCs w:val="16"/>
              </w:rPr>
              <w:t>Vale lembrar que, para quem tem uma expectativa de que o seu benefício no futuro será igual ou inferior ao mínimo estabelecido na tabela progressiva, o regime atual é mais vantajoso tabela progressiva. Isto porqu</w:t>
            </w:r>
            <w:r w:rsidRPr="00D75DE9">
              <w:rPr>
                <w:rFonts w:ascii="Trebuchet MS" w:hAnsi="Trebuchet MS"/>
                <w:bCs/>
                <w:sz w:val="16"/>
                <w:szCs w:val="16"/>
              </w:rPr>
              <w:t>e, nesse caso, o Participante é isento de Imposto de Renda.</w:t>
            </w:r>
          </w:p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0" w:beforeAutospacing="0" w:after="0" w:afterAutospacing="0"/>
              <w:ind w:left="147"/>
              <w:jc w:val="both"/>
              <w:rPr>
                <w:rFonts w:ascii="Trebuchet MS" w:eastAsiaTheme="minorEastAsia" w:hAnsi="Trebuchet MS" w:cstheme="minorBidi"/>
                <w:bCs/>
                <w:sz w:val="16"/>
                <w:szCs w:val="16"/>
              </w:rPr>
            </w:pPr>
          </w:p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0" w:beforeAutospacing="0" w:after="0" w:afterAutospacing="0"/>
              <w:ind w:left="147"/>
              <w:jc w:val="both"/>
              <w:rPr>
                <w:rFonts w:ascii="Trebuchet MS" w:eastAsiaTheme="minorEastAsia" w:hAnsi="Trebuchet MS" w:cstheme="minorBidi"/>
                <w:bCs/>
                <w:sz w:val="16"/>
                <w:szCs w:val="16"/>
              </w:rPr>
            </w:pPr>
            <w:r w:rsidRPr="00D75DE9">
              <w:rPr>
                <w:rFonts w:ascii="Trebuchet MS" w:eastAsiaTheme="minorEastAsia" w:hAnsi="Trebuchet MS" w:cstheme="minorBidi"/>
                <w:bCs/>
                <w:sz w:val="16"/>
                <w:szCs w:val="16"/>
              </w:rPr>
              <w:t xml:space="preserve">É também importante destacar que, nos Planos de Contribuição Definida, o pagamento dos benefícios será feito a partir dos recursos oriundos dos aportes mais antigos para os mais novos, respectivamente. </w:t>
            </w:r>
            <w:r w:rsidR="00302653" w:rsidRPr="00D75DE9">
              <w:rPr>
                <w:rFonts w:ascii="Trebuchet MS" w:eastAsiaTheme="minorEastAsia" w:hAnsi="Trebuchet MS" w:cstheme="minorBidi"/>
                <w:bCs/>
                <w:sz w:val="16"/>
                <w:szCs w:val="16"/>
              </w:rPr>
              <w:t>Consequentemente</w:t>
            </w:r>
            <w:r w:rsidRPr="00D75DE9">
              <w:rPr>
                <w:rFonts w:ascii="Trebuchet MS" w:eastAsiaTheme="minorEastAsia" w:hAnsi="Trebuchet MS" w:cstheme="minorBidi"/>
                <w:bCs/>
                <w:sz w:val="16"/>
                <w:szCs w:val="16"/>
              </w:rPr>
              <w:t>, as alíquotas do IR da tabela regressiva serão aplicadas respeitando esse critério de permanência dos recursos no Plano.</w:t>
            </w:r>
          </w:p>
          <w:p w:rsidR="00235676" w:rsidRPr="00D75DE9" w:rsidRDefault="00235676" w:rsidP="00975920">
            <w:pPr>
              <w:pStyle w:val="NormalWeb"/>
              <w:tabs>
                <w:tab w:val="left" w:pos="2977"/>
              </w:tabs>
              <w:spacing w:before="0" w:beforeAutospacing="0" w:after="0" w:afterAutospacing="0"/>
              <w:ind w:left="147"/>
              <w:jc w:val="both"/>
              <w:rPr>
                <w:rFonts w:ascii="Trebuchet MS" w:eastAsiaTheme="minorEastAsia" w:hAnsi="Trebuchet MS" w:cstheme="minorBidi"/>
                <w:bCs/>
                <w:sz w:val="16"/>
                <w:szCs w:val="16"/>
              </w:rPr>
            </w:pPr>
          </w:p>
          <w:p w:rsidR="00FE5AF6" w:rsidRPr="00D75DE9" w:rsidRDefault="00FE5AF6" w:rsidP="00975920">
            <w:pPr>
              <w:pStyle w:val="NormalWeb"/>
              <w:tabs>
                <w:tab w:val="left" w:pos="2977"/>
              </w:tabs>
              <w:spacing w:before="0" w:beforeAutospacing="0" w:after="0" w:afterAutospacing="0"/>
              <w:ind w:left="147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D75DE9">
              <w:rPr>
                <w:rFonts w:ascii="Trebuchet MS" w:eastAsiaTheme="minorEastAsia" w:hAnsi="Trebuchet MS" w:cstheme="minorBidi"/>
                <w:bCs/>
                <w:sz w:val="16"/>
                <w:szCs w:val="16"/>
              </w:rPr>
              <w:t>Para maiores esclarecimentos acerca das regras de tributação, recomenda-se a consulta ao site da Receita Federal do Brasil (www.receita.fazenda.gov.br).</w:t>
            </w:r>
          </w:p>
        </w:tc>
      </w:tr>
    </w:tbl>
    <w:p w:rsidR="00FE5AF6" w:rsidRPr="00235676" w:rsidRDefault="00FE5AF6" w:rsidP="00FE5AF6">
      <w:pPr>
        <w:ind w:right="-283"/>
        <w:jc w:val="right"/>
        <w:rPr>
          <w:i/>
          <w:color w:val="000000"/>
          <w:sz w:val="14"/>
          <w:szCs w:val="16"/>
          <w:lang w:val="pt-BR"/>
        </w:rPr>
      </w:pPr>
    </w:p>
    <w:sectPr w:rsidR="00FE5AF6" w:rsidRPr="00235676" w:rsidSect="0069310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24" w:right="1416" w:bottom="425" w:left="141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3E" w:rsidRDefault="00D9083E" w:rsidP="00AC5F78">
      <w:r>
        <w:separator/>
      </w:r>
    </w:p>
  </w:endnote>
  <w:endnote w:type="continuationSeparator" w:id="0">
    <w:p w:rsidR="00D9083E" w:rsidRDefault="00D9083E" w:rsidP="00AC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459" w:type="dxa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747"/>
    </w:tblGrid>
    <w:tr w:rsidR="00B07A57" w:rsidRPr="00881660" w:rsidTr="008A2313">
      <w:trPr>
        <w:trHeight w:val="533"/>
      </w:trPr>
      <w:tc>
        <w:tcPr>
          <w:tcW w:w="9955" w:type="dxa"/>
          <w:vAlign w:val="center"/>
        </w:tcPr>
        <w:p w:rsidR="00B07A57" w:rsidRPr="00581BD8" w:rsidRDefault="00B07A57" w:rsidP="00B07A57">
          <w:pPr>
            <w:pStyle w:val="Rodap"/>
            <w:jc w:val="center"/>
            <w:rPr>
              <w:b/>
              <w:i/>
              <w:color w:val="006600"/>
              <w:sz w:val="18"/>
              <w:lang w:val="pt-BR"/>
            </w:rPr>
          </w:pPr>
          <w:r w:rsidRPr="00581BD8">
            <w:rPr>
              <w:b/>
              <w:i/>
              <w:color w:val="006600"/>
              <w:sz w:val="18"/>
              <w:lang w:val="pt-BR"/>
            </w:rPr>
            <w:t>Avenida Augusto Maynard, 321 – 1º andar – Bairro São José – CEP. 49.015-380 – Aracaju-SE</w:t>
          </w:r>
        </w:p>
        <w:p w:rsidR="00640647" w:rsidRPr="00640647" w:rsidRDefault="00B07A57" w:rsidP="00FD377F">
          <w:pPr>
            <w:pStyle w:val="Rodap"/>
            <w:jc w:val="center"/>
            <w:rPr>
              <w:lang w:val="pt-BR"/>
            </w:rPr>
          </w:pPr>
          <w:r w:rsidRPr="00581BD8">
            <w:rPr>
              <w:b/>
              <w:i/>
              <w:color w:val="006600"/>
              <w:sz w:val="18"/>
              <w:lang w:val="pt-BR"/>
            </w:rPr>
            <w:t xml:space="preserve">Fone: (79) 2106-4500 E-mail </w:t>
          </w:r>
          <w:r w:rsidR="00881660">
            <w:fldChar w:fldCharType="begin"/>
          </w:r>
          <w:r w:rsidR="00881660" w:rsidRPr="00881660">
            <w:rPr>
              <w:lang w:val="pt-BR"/>
            </w:rPr>
            <w:instrText xml:space="preserve"> HYPERLINK "mailto:sergus.contato@banese.com.br" </w:instrText>
          </w:r>
          <w:r w:rsidR="00881660">
            <w:fldChar w:fldCharType="separate"/>
          </w:r>
          <w:r w:rsidRPr="00581BD8">
            <w:rPr>
              <w:rStyle w:val="Hyperlink"/>
              <w:b/>
              <w:i/>
              <w:sz w:val="18"/>
              <w:lang w:val="pt-BR"/>
            </w:rPr>
            <w:t>sergus.contato@banese.com.br</w:t>
          </w:r>
          <w:r w:rsidR="00881660">
            <w:rPr>
              <w:rStyle w:val="Hyperlink"/>
              <w:b/>
              <w:i/>
              <w:sz w:val="18"/>
              <w:lang w:val="pt-BR"/>
            </w:rPr>
            <w:fldChar w:fldCharType="end"/>
          </w:r>
          <w:r w:rsidRPr="00581BD8">
            <w:rPr>
              <w:b/>
              <w:i/>
              <w:color w:val="006600"/>
              <w:sz w:val="18"/>
              <w:lang w:val="pt-BR"/>
            </w:rPr>
            <w:t xml:space="preserve"> CNPJ: 15.582.513/0001-25</w:t>
          </w:r>
        </w:p>
      </w:tc>
    </w:tr>
  </w:tbl>
  <w:p w:rsidR="00B07A57" w:rsidRPr="00581BD8" w:rsidRDefault="00B07A57" w:rsidP="00B07A57">
    <w:pPr>
      <w:pStyle w:val="Rodap"/>
      <w:rPr>
        <w:lang w:val="pt-BR"/>
      </w:rPr>
    </w:pPr>
  </w:p>
  <w:p w:rsidR="00B07A57" w:rsidRPr="00581BD8" w:rsidRDefault="00B07A57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459" w:type="dxa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747"/>
    </w:tblGrid>
    <w:tr w:rsidR="00D54AB9" w:rsidRPr="00881660" w:rsidTr="00AF3F6A">
      <w:trPr>
        <w:trHeight w:val="533"/>
      </w:trPr>
      <w:tc>
        <w:tcPr>
          <w:tcW w:w="10065" w:type="dxa"/>
          <w:vAlign w:val="center"/>
        </w:tcPr>
        <w:p w:rsidR="00D54AB9" w:rsidRPr="006875C5" w:rsidRDefault="00D54AB9" w:rsidP="00AF3F6A">
          <w:pPr>
            <w:pStyle w:val="Rodap"/>
            <w:jc w:val="center"/>
            <w:rPr>
              <w:b/>
              <w:i/>
              <w:color w:val="006600"/>
              <w:sz w:val="18"/>
              <w:lang w:val="pt-BR"/>
            </w:rPr>
          </w:pPr>
          <w:r w:rsidRPr="006875C5">
            <w:rPr>
              <w:b/>
              <w:i/>
              <w:color w:val="006600"/>
              <w:sz w:val="18"/>
              <w:lang w:val="pt-BR"/>
            </w:rPr>
            <w:t xml:space="preserve">Avenida Augusto Maynard, 321 – 1º andar – Bairro São José – CEP. 49.015-380 – </w:t>
          </w:r>
          <w:proofErr w:type="spellStart"/>
          <w:r w:rsidRPr="006875C5">
            <w:rPr>
              <w:b/>
              <w:i/>
              <w:color w:val="006600"/>
              <w:sz w:val="18"/>
              <w:lang w:val="pt-BR"/>
            </w:rPr>
            <w:t>Aracaju-SE</w:t>
          </w:r>
          <w:proofErr w:type="spellEnd"/>
        </w:p>
        <w:p w:rsidR="00D54AB9" w:rsidRPr="006875C5" w:rsidRDefault="00D54AB9" w:rsidP="00AF3F6A">
          <w:pPr>
            <w:pStyle w:val="Rodap"/>
            <w:jc w:val="center"/>
            <w:rPr>
              <w:lang w:val="pt-BR"/>
            </w:rPr>
          </w:pPr>
          <w:r w:rsidRPr="006875C5">
            <w:rPr>
              <w:b/>
              <w:i/>
              <w:color w:val="006600"/>
              <w:sz w:val="18"/>
              <w:lang w:val="pt-BR"/>
            </w:rPr>
            <w:t xml:space="preserve">Fone: (79) 2106-4500 E-mail </w:t>
          </w:r>
          <w:r w:rsidR="00881660">
            <w:fldChar w:fldCharType="begin"/>
          </w:r>
          <w:r w:rsidR="00881660" w:rsidRPr="00881660">
            <w:rPr>
              <w:lang w:val="pt-BR"/>
            </w:rPr>
            <w:instrText xml:space="preserve"> HYPERLINK "mailto:sergus.contato@banese.com.br" </w:instrText>
          </w:r>
          <w:r w:rsidR="00881660">
            <w:fldChar w:fldCharType="separate"/>
          </w:r>
          <w:r w:rsidRPr="006875C5">
            <w:rPr>
              <w:rStyle w:val="Hyperlink"/>
              <w:b/>
              <w:i/>
              <w:sz w:val="18"/>
              <w:lang w:val="pt-BR"/>
            </w:rPr>
            <w:t>sergus.contato@banese.com.br</w:t>
          </w:r>
          <w:r w:rsidR="00881660">
            <w:rPr>
              <w:rStyle w:val="Hyperlink"/>
              <w:b/>
              <w:i/>
              <w:sz w:val="18"/>
              <w:lang w:val="pt-BR"/>
            </w:rPr>
            <w:fldChar w:fldCharType="end"/>
          </w:r>
          <w:r w:rsidRPr="006875C5">
            <w:rPr>
              <w:b/>
              <w:i/>
              <w:color w:val="006600"/>
              <w:sz w:val="18"/>
              <w:lang w:val="pt-BR"/>
            </w:rPr>
            <w:t xml:space="preserve"> CNPJ: 15.582.513/0001-25</w:t>
          </w:r>
        </w:p>
      </w:tc>
    </w:tr>
  </w:tbl>
  <w:p w:rsidR="00D54AB9" w:rsidRPr="006875C5" w:rsidRDefault="00D54AB9" w:rsidP="00AF3F6A">
    <w:pPr>
      <w:pStyle w:val="Rodap"/>
      <w:jc w:val="center"/>
      <w:rPr>
        <w:lang w:val="pt-BR"/>
      </w:rPr>
    </w:pPr>
  </w:p>
  <w:p w:rsidR="00D54AB9" w:rsidRPr="006875C5" w:rsidRDefault="00D54AB9" w:rsidP="00AF3F6A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3E" w:rsidRDefault="00D9083E" w:rsidP="00AC5F78">
      <w:r>
        <w:separator/>
      </w:r>
    </w:p>
  </w:footnote>
  <w:footnote w:type="continuationSeparator" w:id="0">
    <w:p w:rsidR="00D9083E" w:rsidRDefault="00D9083E" w:rsidP="00AC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57" w:rsidRDefault="00B07A57" w:rsidP="00B07A57"/>
  <w:tbl>
    <w:tblPr>
      <w:tblW w:w="9042" w:type="dxa"/>
      <w:tblBorders>
        <w:insideH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6341"/>
      <w:gridCol w:w="2701"/>
    </w:tblGrid>
    <w:tr w:rsidR="00B07A57" w:rsidRPr="00584354" w:rsidTr="000E11FD">
      <w:trPr>
        <w:trHeight w:val="566"/>
      </w:trPr>
      <w:tc>
        <w:tcPr>
          <w:tcW w:w="6341" w:type="dxa"/>
          <w:tcBorders>
            <w:top w:val="nil"/>
            <w:bottom w:val="nil"/>
          </w:tcBorders>
          <w:shd w:val="clear" w:color="auto" w:fill="auto"/>
        </w:tcPr>
        <w:p w:rsidR="00B07A57" w:rsidRDefault="00B07A57" w:rsidP="00B07A57">
          <w:pPr>
            <w:pStyle w:val="Cabealho"/>
            <w:jc w:val="right"/>
            <w:rPr>
              <w:b/>
              <w:i/>
              <w:color w:val="006600"/>
              <w:sz w:val="24"/>
              <w:lang w:val="pt-BR"/>
            </w:rPr>
          </w:pPr>
          <w:r w:rsidRPr="00931D6E">
            <w:rPr>
              <w:b/>
              <w:i/>
              <w:color w:val="006600"/>
              <w:sz w:val="24"/>
              <w:lang w:val="pt-BR"/>
            </w:rPr>
            <w:t>Instituto Banese de Seguridade Social</w:t>
          </w:r>
        </w:p>
        <w:p w:rsidR="00B07A57" w:rsidRPr="005C4F10" w:rsidRDefault="00B07A57" w:rsidP="00B07A57">
          <w:pPr>
            <w:ind w:left="720"/>
            <w:jc w:val="right"/>
            <w:rPr>
              <w:b/>
              <w:i/>
              <w:color w:val="006600"/>
              <w:sz w:val="24"/>
              <w:lang w:val="pt-BR"/>
            </w:rPr>
          </w:pPr>
          <w:r w:rsidRPr="005C4F10">
            <w:rPr>
              <w:b/>
              <w:i/>
              <w:color w:val="006600"/>
              <w:sz w:val="24"/>
              <w:lang w:val="pt-BR"/>
            </w:rPr>
            <w:t>PLANO DE BENEFÍCIOS SERGUS CD</w:t>
          </w:r>
        </w:p>
        <w:p w:rsidR="00B07A57" w:rsidRPr="005C4F10" w:rsidRDefault="00B07A57" w:rsidP="00B07A57">
          <w:pPr>
            <w:ind w:left="720"/>
            <w:jc w:val="right"/>
            <w:rPr>
              <w:b/>
              <w:i/>
              <w:color w:val="006600"/>
              <w:sz w:val="24"/>
              <w:lang w:val="pt-BR"/>
            </w:rPr>
          </w:pPr>
          <w:r w:rsidRPr="005C4F10">
            <w:rPr>
              <w:b/>
              <w:i/>
              <w:color w:val="006600"/>
              <w:sz w:val="24"/>
              <w:lang w:val="pt-BR"/>
            </w:rPr>
            <w:t>CNPB Nº 2016.0018-11</w:t>
          </w:r>
        </w:p>
      </w:tc>
      <w:tc>
        <w:tcPr>
          <w:tcW w:w="2701" w:type="dxa"/>
          <w:vMerge w:val="restart"/>
          <w:tcBorders>
            <w:top w:val="nil"/>
            <w:bottom w:val="nil"/>
          </w:tcBorders>
          <w:shd w:val="clear" w:color="auto" w:fill="auto"/>
        </w:tcPr>
        <w:p w:rsidR="00B07A57" w:rsidRPr="00584354" w:rsidRDefault="00B07A57" w:rsidP="00B07A57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9DF7B24" wp14:editId="6D840777">
                <wp:extent cx="1610360" cy="457200"/>
                <wp:effectExtent l="0" t="0" r="8890" b="0"/>
                <wp:docPr id="9" name="Imagem 9" descr="Descrição: SERGUS-2012-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SERGUS-2012-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7A57" w:rsidRPr="00584354" w:rsidTr="000E11FD">
      <w:trPr>
        <w:trHeight w:val="291"/>
      </w:trPr>
      <w:tc>
        <w:tcPr>
          <w:tcW w:w="6341" w:type="dxa"/>
          <w:shd w:val="clear" w:color="auto" w:fill="auto"/>
        </w:tcPr>
        <w:p w:rsidR="00B07A57" w:rsidRPr="00584354" w:rsidRDefault="00B07A57" w:rsidP="00B07A57">
          <w:pPr>
            <w:pStyle w:val="Cabealho"/>
          </w:pPr>
        </w:p>
      </w:tc>
      <w:tc>
        <w:tcPr>
          <w:tcW w:w="2701" w:type="dxa"/>
          <w:vMerge/>
          <w:shd w:val="clear" w:color="auto" w:fill="auto"/>
        </w:tcPr>
        <w:p w:rsidR="00B07A57" w:rsidRPr="00584354" w:rsidRDefault="00B07A57" w:rsidP="00B07A57">
          <w:pPr>
            <w:pStyle w:val="Cabealho"/>
            <w:jc w:val="right"/>
          </w:pPr>
        </w:p>
      </w:tc>
    </w:tr>
  </w:tbl>
  <w:p w:rsidR="00B07A57" w:rsidRPr="00133391" w:rsidRDefault="00B07A57">
    <w:pPr>
      <w:pStyle w:val="Cabealho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41" w:rsidRDefault="00843C41"/>
  <w:tbl>
    <w:tblPr>
      <w:tblW w:w="9042" w:type="dxa"/>
      <w:tblBorders>
        <w:insideH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6341"/>
      <w:gridCol w:w="2701"/>
    </w:tblGrid>
    <w:tr w:rsidR="00843C41" w:rsidRPr="00584354" w:rsidTr="00931D6E">
      <w:trPr>
        <w:trHeight w:val="566"/>
      </w:trPr>
      <w:tc>
        <w:tcPr>
          <w:tcW w:w="6341" w:type="dxa"/>
          <w:tcBorders>
            <w:top w:val="nil"/>
            <w:bottom w:val="nil"/>
          </w:tcBorders>
          <w:shd w:val="clear" w:color="auto" w:fill="auto"/>
        </w:tcPr>
        <w:p w:rsidR="00843C41" w:rsidRDefault="00843C41" w:rsidP="005C4F10">
          <w:pPr>
            <w:pStyle w:val="Cabealho"/>
            <w:jc w:val="right"/>
            <w:rPr>
              <w:b/>
              <w:i/>
              <w:color w:val="006600"/>
              <w:sz w:val="24"/>
              <w:lang w:val="pt-BR"/>
            </w:rPr>
          </w:pPr>
          <w:r w:rsidRPr="00931D6E">
            <w:rPr>
              <w:b/>
              <w:i/>
              <w:color w:val="006600"/>
              <w:sz w:val="24"/>
              <w:lang w:val="pt-BR"/>
            </w:rPr>
            <w:t>Instituto Banese de Seguridade Social</w:t>
          </w:r>
        </w:p>
        <w:p w:rsidR="00843C41" w:rsidRPr="005C4F10" w:rsidRDefault="00843C41" w:rsidP="00BF2724">
          <w:pPr>
            <w:ind w:left="720"/>
            <w:jc w:val="right"/>
            <w:rPr>
              <w:b/>
              <w:i/>
              <w:color w:val="006600"/>
              <w:sz w:val="24"/>
              <w:lang w:val="pt-BR"/>
            </w:rPr>
          </w:pPr>
          <w:r w:rsidRPr="005C4F10">
            <w:rPr>
              <w:b/>
              <w:i/>
              <w:color w:val="006600"/>
              <w:sz w:val="24"/>
              <w:lang w:val="pt-BR"/>
            </w:rPr>
            <w:t>PLANO DE BENEFÍCIOS SERGUS CD</w:t>
          </w:r>
        </w:p>
        <w:p w:rsidR="00843C41" w:rsidRPr="005C4F10" w:rsidRDefault="00843C41" w:rsidP="00BF2724">
          <w:pPr>
            <w:ind w:left="720"/>
            <w:jc w:val="right"/>
            <w:rPr>
              <w:b/>
              <w:i/>
              <w:color w:val="006600"/>
              <w:sz w:val="24"/>
              <w:lang w:val="pt-BR"/>
            </w:rPr>
          </w:pPr>
          <w:r w:rsidRPr="005C4F10">
            <w:rPr>
              <w:b/>
              <w:i/>
              <w:color w:val="006600"/>
              <w:sz w:val="24"/>
              <w:lang w:val="pt-BR"/>
            </w:rPr>
            <w:t>CNPB Nº 2016.0018-11</w:t>
          </w:r>
        </w:p>
      </w:tc>
      <w:tc>
        <w:tcPr>
          <w:tcW w:w="2701" w:type="dxa"/>
          <w:vMerge w:val="restart"/>
          <w:tcBorders>
            <w:top w:val="nil"/>
            <w:bottom w:val="nil"/>
          </w:tcBorders>
          <w:shd w:val="clear" w:color="auto" w:fill="auto"/>
        </w:tcPr>
        <w:p w:rsidR="00843C41" w:rsidRPr="00584354" w:rsidRDefault="00843C41" w:rsidP="00931D6E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D1F6453" wp14:editId="3858CD59">
                <wp:extent cx="1610360" cy="457200"/>
                <wp:effectExtent l="0" t="0" r="8890" b="0"/>
                <wp:docPr id="10" name="Imagem 1" descr="Descrição: SERGUS-2012-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SERGUS-2012-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3C41" w:rsidRPr="00584354" w:rsidTr="00931D6E">
      <w:trPr>
        <w:trHeight w:val="291"/>
      </w:trPr>
      <w:tc>
        <w:tcPr>
          <w:tcW w:w="6341" w:type="dxa"/>
          <w:shd w:val="clear" w:color="auto" w:fill="auto"/>
        </w:tcPr>
        <w:p w:rsidR="00843C41" w:rsidRPr="00584354" w:rsidRDefault="00843C41" w:rsidP="00931D6E">
          <w:pPr>
            <w:pStyle w:val="Cabealho"/>
          </w:pPr>
        </w:p>
      </w:tc>
      <w:tc>
        <w:tcPr>
          <w:tcW w:w="2701" w:type="dxa"/>
          <w:vMerge/>
          <w:shd w:val="clear" w:color="auto" w:fill="auto"/>
        </w:tcPr>
        <w:p w:rsidR="00843C41" w:rsidRPr="00584354" w:rsidRDefault="00843C41" w:rsidP="00931D6E">
          <w:pPr>
            <w:pStyle w:val="Cabealho"/>
            <w:jc w:val="right"/>
          </w:pPr>
        </w:p>
      </w:tc>
    </w:tr>
  </w:tbl>
  <w:p w:rsidR="00843C41" w:rsidRPr="00176382" w:rsidRDefault="00843C41" w:rsidP="00EA3A46">
    <w:pPr>
      <w:pStyle w:val="Cabealho"/>
      <w:rPr>
        <w:sz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228E"/>
    <w:multiLevelType w:val="hybridMultilevel"/>
    <w:tmpl w:val="77AA291C"/>
    <w:lvl w:ilvl="0" w:tplc="47C4B4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FB15A9"/>
    <w:multiLevelType w:val="hybridMultilevel"/>
    <w:tmpl w:val="3514CF02"/>
    <w:lvl w:ilvl="0" w:tplc="86923074">
      <w:start w:val="1"/>
      <w:numFmt w:val="bullet"/>
      <w:lvlText w:val=""/>
      <w:lvlJc w:val="left"/>
      <w:pPr>
        <w:tabs>
          <w:tab w:val="num" w:pos="921"/>
        </w:tabs>
        <w:ind w:left="901" w:hanging="340"/>
      </w:pPr>
      <w:rPr>
        <w:rFonts w:ascii="Symbol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">
    <w:nsid w:val="405D7851"/>
    <w:multiLevelType w:val="hybridMultilevel"/>
    <w:tmpl w:val="2620E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90888"/>
    <w:multiLevelType w:val="hybridMultilevel"/>
    <w:tmpl w:val="3630236E"/>
    <w:lvl w:ilvl="0" w:tplc="0202887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C56CB"/>
    <w:multiLevelType w:val="hybridMultilevel"/>
    <w:tmpl w:val="CAD01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040C6"/>
    <w:multiLevelType w:val="hybridMultilevel"/>
    <w:tmpl w:val="64D26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5645B"/>
    <w:multiLevelType w:val="hybridMultilevel"/>
    <w:tmpl w:val="8F88E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BC"/>
    <w:rsid w:val="00061612"/>
    <w:rsid w:val="00067D04"/>
    <w:rsid w:val="00113589"/>
    <w:rsid w:val="00113772"/>
    <w:rsid w:val="00130C7B"/>
    <w:rsid w:val="00133391"/>
    <w:rsid w:val="00140128"/>
    <w:rsid w:val="00147732"/>
    <w:rsid w:val="00152268"/>
    <w:rsid w:val="00153D26"/>
    <w:rsid w:val="001565BC"/>
    <w:rsid w:val="001607BC"/>
    <w:rsid w:val="00171ED9"/>
    <w:rsid w:val="00176382"/>
    <w:rsid w:val="00184555"/>
    <w:rsid w:val="001B6239"/>
    <w:rsid w:val="001F7782"/>
    <w:rsid w:val="00200033"/>
    <w:rsid w:val="00210F49"/>
    <w:rsid w:val="00235676"/>
    <w:rsid w:val="00260912"/>
    <w:rsid w:val="00264D9C"/>
    <w:rsid w:val="0028282C"/>
    <w:rsid w:val="0028400D"/>
    <w:rsid w:val="002842C0"/>
    <w:rsid w:val="00297F6D"/>
    <w:rsid w:val="002C5E9D"/>
    <w:rsid w:val="002C6EC1"/>
    <w:rsid w:val="002E1A6E"/>
    <w:rsid w:val="00302653"/>
    <w:rsid w:val="003066C9"/>
    <w:rsid w:val="003608AB"/>
    <w:rsid w:val="00361798"/>
    <w:rsid w:val="0036731F"/>
    <w:rsid w:val="003952F0"/>
    <w:rsid w:val="003A1F58"/>
    <w:rsid w:val="003B27C2"/>
    <w:rsid w:val="003B5632"/>
    <w:rsid w:val="003C4994"/>
    <w:rsid w:val="003F1D07"/>
    <w:rsid w:val="003F65CB"/>
    <w:rsid w:val="004058B2"/>
    <w:rsid w:val="00411FE7"/>
    <w:rsid w:val="00440921"/>
    <w:rsid w:val="0044516B"/>
    <w:rsid w:val="0044770C"/>
    <w:rsid w:val="00450E3E"/>
    <w:rsid w:val="004663E4"/>
    <w:rsid w:val="00476632"/>
    <w:rsid w:val="00482A21"/>
    <w:rsid w:val="00486F34"/>
    <w:rsid w:val="004A1F2E"/>
    <w:rsid w:val="004A4A41"/>
    <w:rsid w:val="004B6D9E"/>
    <w:rsid w:val="004C34E2"/>
    <w:rsid w:val="004C34E9"/>
    <w:rsid w:val="004D1CF1"/>
    <w:rsid w:val="004D5E08"/>
    <w:rsid w:val="004E773C"/>
    <w:rsid w:val="004F7BB1"/>
    <w:rsid w:val="0053218D"/>
    <w:rsid w:val="00553D5F"/>
    <w:rsid w:val="005555D9"/>
    <w:rsid w:val="005700A9"/>
    <w:rsid w:val="00581BD8"/>
    <w:rsid w:val="005912C4"/>
    <w:rsid w:val="005954A4"/>
    <w:rsid w:val="005A6A49"/>
    <w:rsid w:val="005B154E"/>
    <w:rsid w:val="005C375E"/>
    <w:rsid w:val="005C4454"/>
    <w:rsid w:val="005C4F10"/>
    <w:rsid w:val="006222A3"/>
    <w:rsid w:val="006228B2"/>
    <w:rsid w:val="0062455D"/>
    <w:rsid w:val="00625A92"/>
    <w:rsid w:val="00632311"/>
    <w:rsid w:val="00636FE6"/>
    <w:rsid w:val="00640647"/>
    <w:rsid w:val="00650DE9"/>
    <w:rsid w:val="006778F9"/>
    <w:rsid w:val="006875C5"/>
    <w:rsid w:val="0069310B"/>
    <w:rsid w:val="006A4409"/>
    <w:rsid w:val="006C7D54"/>
    <w:rsid w:val="00715C7B"/>
    <w:rsid w:val="00721B5D"/>
    <w:rsid w:val="007325D5"/>
    <w:rsid w:val="00733DC0"/>
    <w:rsid w:val="00771EEE"/>
    <w:rsid w:val="00773ADF"/>
    <w:rsid w:val="007B1AEF"/>
    <w:rsid w:val="007B7370"/>
    <w:rsid w:val="007C2BB4"/>
    <w:rsid w:val="007E6322"/>
    <w:rsid w:val="007F7015"/>
    <w:rsid w:val="00810645"/>
    <w:rsid w:val="0081797E"/>
    <w:rsid w:val="0082157D"/>
    <w:rsid w:val="00841319"/>
    <w:rsid w:val="00843C41"/>
    <w:rsid w:val="008511D2"/>
    <w:rsid w:val="00853EDE"/>
    <w:rsid w:val="00860C5B"/>
    <w:rsid w:val="00860DFC"/>
    <w:rsid w:val="00870024"/>
    <w:rsid w:val="008802DD"/>
    <w:rsid w:val="00881660"/>
    <w:rsid w:val="00890DC9"/>
    <w:rsid w:val="00892F4A"/>
    <w:rsid w:val="008A2313"/>
    <w:rsid w:val="008A4309"/>
    <w:rsid w:val="008A6A6D"/>
    <w:rsid w:val="00902044"/>
    <w:rsid w:val="00911741"/>
    <w:rsid w:val="00923E26"/>
    <w:rsid w:val="00931D6E"/>
    <w:rsid w:val="009367FB"/>
    <w:rsid w:val="00937E3F"/>
    <w:rsid w:val="009625FB"/>
    <w:rsid w:val="009627C2"/>
    <w:rsid w:val="00975920"/>
    <w:rsid w:val="009F3412"/>
    <w:rsid w:val="00A0173F"/>
    <w:rsid w:val="00A278CC"/>
    <w:rsid w:val="00A450C3"/>
    <w:rsid w:val="00A54EAF"/>
    <w:rsid w:val="00A6076B"/>
    <w:rsid w:val="00A7051D"/>
    <w:rsid w:val="00AB08DE"/>
    <w:rsid w:val="00AC3A6A"/>
    <w:rsid w:val="00AC5F78"/>
    <w:rsid w:val="00AC76FB"/>
    <w:rsid w:val="00AF3F6A"/>
    <w:rsid w:val="00B04AF0"/>
    <w:rsid w:val="00B07A57"/>
    <w:rsid w:val="00B173B1"/>
    <w:rsid w:val="00B426C5"/>
    <w:rsid w:val="00B42755"/>
    <w:rsid w:val="00B56A2B"/>
    <w:rsid w:val="00B63D8A"/>
    <w:rsid w:val="00B73EAE"/>
    <w:rsid w:val="00B84504"/>
    <w:rsid w:val="00B85289"/>
    <w:rsid w:val="00B86405"/>
    <w:rsid w:val="00B9361D"/>
    <w:rsid w:val="00BA54A8"/>
    <w:rsid w:val="00BD0196"/>
    <w:rsid w:val="00BD6E70"/>
    <w:rsid w:val="00BF2724"/>
    <w:rsid w:val="00BF63DB"/>
    <w:rsid w:val="00C24196"/>
    <w:rsid w:val="00C32306"/>
    <w:rsid w:val="00C46063"/>
    <w:rsid w:val="00C5220F"/>
    <w:rsid w:val="00C571C3"/>
    <w:rsid w:val="00C60A31"/>
    <w:rsid w:val="00C60D89"/>
    <w:rsid w:val="00C64378"/>
    <w:rsid w:val="00C84231"/>
    <w:rsid w:val="00C93FC5"/>
    <w:rsid w:val="00CC7565"/>
    <w:rsid w:val="00D234F8"/>
    <w:rsid w:val="00D30B2A"/>
    <w:rsid w:val="00D3632B"/>
    <w:rsid w:val="00D42EA0"/>
    <w:rsid w:val="00D4673D"/>
    <w:rsid w:val="00D54AB9"/>
    <w:rsid w:val="00D71254"/>
    <w:rsid w:val="00D7367A"/>
    <w:rsid w:val="00D73CDC"/>
    <w:rsid w:val="00D75DE9"/>
    <w:rsid w:val="00D821FC"/>
    <w:rsid w:val="00D823FA"/>
    <w:rsid w:val="00D9083E"/>
    <w:rsid w:val="00D9307A"/>
    <w:rsid w:val="00DC34AD"/>
    <w:rsid w:val="00DF34FA"/>
    <w:rsid w:val="00E107B5"/>
    <w:rsid w:val="00E32A70"/>
    <w:rsid w:val="00E50C41"/>
    <w:rsid w:val="00E71EB1"/>
    <w:rsid w:val="00E74E7F"/>
    <w:rsid w:val="00E75A91"/>
    <w:rsid w:val="00E75E5C"/>
    <w:rsid w:val="00EA0B3E"/>
    <w:rsid w:val="00EA349E"/>
    <w:rsid w:val="00EA3A46"/>
    <w:rsid w:val="00EE3916"/>
    <w:rsid w:val="00EE5454"/>
    <w:rsid w:val="00EF3106"/>
    <w:rsid w:val="00EF61CB"/>
    <w:rsid w:val="00F647AD"/>
    <w:rsid w:val="00F64AF7"/>
    <w:rsid w:val="00F70396"/>
    <w:rsid w:val="00F83D6D"/>
    <w:rsid w:val="00F90799"/>
    <w:rsid w:val="00F94AE8"/>
    <w:rsid w:val="00FA2BD8"/>
    <w:rsid w:val="00FD2B48"/>
    <w:rsid w:val="00FD377F"/>
    <w:rsid w:val="00FD42DE"/>
    <w:rsid w:val="00FE5AF6"/>
    <w:rsid w:val="00FF31EF"/>
    <w:rsid w:val="00FF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BC"/>
    <w:pPr>
      <w:spacing w:after="0" w:line="240" w:lineRule="auto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184555"/>
    <w:pPr>
      <w:keepNext/>
      <w:outlineLvl w:val="0"/>
    </w:pPr>
    <w:rPr>
      <w:b/>
      <w:bCs/>
      <w:color w:val="auto"/>
      <w:sz w:val="1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5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C76FB"/>
    <w:pPr>
      <w:tabs>
        <w:tab w:val="left" w:pos="360"/>
      </w:tabs>
      <w:spacing w:line="312" w:lineRule="auto"/>
      <w:ind w:left="540"/>
      <w:jc w:val="both"/>
    </w:pPr>
    <w:rPr>
      <w:rFonts w:ascii="Times New Roman" w:hAnsi="Times New Roman" w:cs="Times New Roman"/>
      <w:color w:val="auto"/>
      <w:sz w:val="22"/>
      <w:szCs w:val="24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AC76FB"/>
    <w:rPr>
      <w:rFonts w:ascii="Times New Roman" w:eastAsia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9625F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A2BD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2BD8"/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C5F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5F78"/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AC5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F78"/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SemEspaamento">
    <w:name w:val="No Spacing"/>
    <w:uiPriority w:val="1"/>
    <w:qFormat/>
    <w:rsid w:val="009367FB"/>
    <w:pPr>
      <w:spacing w:after="0" w:line="240" w:lineRule="auto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D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D6E"/>
    <w:rPr>
      <w:rFonts w:ascii="Tahoma" w:eastAsia="Times New Roman" w:hAnsi="Tahoma" w:cs="Tahoma"/>
      <w:color w:val="FF0000"/>
      <w:sz w:val="16"/>
      <w:szCs w:val="16"/>
      <w:lang w:val="en-US"/>
    </w:rPr>
  </w:style>
  <w:style w:type="character" w:styleId="Forte">
    <w:name w:val="Strong"/>
    <w:basedOn w:val="Fontepargpadro"/>
    <w:qFormat/>
    <w:rsid w:val="002842C0"/>
    <w:rPr>
      <w:b/>
      <w:bCs/>
    </w:rPr>
  </w:style>
  <w:style w:type="character" w:customStyle="1" w:styleId="apple-converted-space">
    <w:name w:val="apple-converted-space"/>
    <w:basedOn w:val="Fontepargpadro"/>
    <w:rsid w:val="002842C0"/>
  </w:style>
  <w:style w:type="paragraph" w:customStyle="1" w:styleId="Normal1">
    <w:name w:val="Normal1"/>
    <w:basedOn w:val="Normal"/>
    <w:rsid w:val="00F70396"/>
    <w:pPr>
      <w:keepLines/>
      <w:spacing w:before="120" w:after="120" w:line="264" w:lineRule="atLeast"/>
      <w:ind w:left="720"/>
      <w:jc w:val="both"/>
    </w:pPr>
    <w:rPr>
      <w:rFonts w:cs="Times New Roman"/>
      <w:color w:val="auto"/>
      <w:lang w:val="pt-BR" w:eastAsia="pt-BR"/>
    </w:rPr>
  </w:style>
  <w:style w:type="character" w:customStyle="1" w:styleId="Ttulo1Char">
    <w:name w:val="Título 1 Char"/>
    <w:basedOn w:val="Fontepargpadro"/>
    <w:link w:val="Ttulo1"/>
    <w:rsid w:val="00184555"/>
    <w:rPr>
      <w:rFonts w:ascii="Arial" w:eastAsia="Times New Roman" w:hAnsi="Arial" w:cs="Arial"/>
      <w:b/>
      <w:bCs/>
      <w:sz w:val="14"/>
      <w:szCs w:val="24"/>
      <w:lang w:eastAsia="pt-BR"/>
    </w:rPr>
  </w:style>
  <w:style w:type="table" w:styleId="Tabelacomgrade">
    <w:name w:val="Table Grid"/>
    <w:basedOn w:val="Tabelanormal"/>
    <w:uiPriority w:val="59"/>
    <w:rsid w:val="0082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08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4AB9"/>
    <w:rPr>
      <w:color w:val="0000FF" w:themeColor="hyperlink"/>
      <w:u w:val="single"/>
    </w:rPr>
  </w:style>
  <w:style w:type="paragraph" w:customStyle="1" w:styleId="Style1">
    <w:name w:val="Style 1"/>
    <w:basedOn w:val="Normal"/>
    <w:uiPriority w:val="99"/>
    <w:rsid w:val="008A231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5A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CharacterStyle1">
    <w:name w:val="Character Style 1"/>
    <w:uiPriority w:val="99"/>
    <w:rsid w:val="00FE5AF6"/>
    <w:rPr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FE5AF6"/>
    <w:pPr>
      <w:spacing w:line="241" w:lineRule="atLeast"/>
    </w:pPr>
    <w:rPr>
      <w:rFonts w:ascii="Arial" w:eastAsiaTheme="minorEastAsia" w:hAnsi="Arial" w:cs="Arial"/>
      <w:color w:val="auto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E5AF6"/>
    <w:pPr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E5AF6"/>
    <w:rPr>
      <w:rFonts w:eastAsiaTheme="minorEastAsia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E5AF6"/>
    <w:pPr>
      <w:spacing w:after="120" w:line="276" w:lineRule="auto"/>
    </w:pPr>
    <w:rPr>
      <w:rFonts w:asciiTheme="minorHAnsi" w:eastAsiaTheme="minorEastAsia" w:hAnsiTheme="minorHAnsi" w:cstheme="minorBidi"/>
      <w:color w:val="auto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E5AF6"/>
    <w:rPr>
      <w:rFonts w:eastAsiaTheme="minorEastAsia"/>
      <w:sz w:val="16"/>
      <w:szCs w:val="16"/>
      <w:lang w:eastAsia="pt-BR"/>
    </w:rPr>
  </w:style>
  <w:style w:type="paragraph" w:styleId="NormalWeb">
    <w:name w:val="Normal (Web)"/>
    <w:basedOn w:val="Normal"/>
    <w:rsid w:val="00FE5AF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BC"/>
    <w:pPr>
      <w:spacing w:after="0" w:line="240" w:lineRule="auto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184555"/>
    <w:pPr>
      <w:keepNext/>
      <w:outlineLvl w:val="0"/>
    </w:pPr>
    <w:rPr>
      <w:b/>
      <w:bCs/>
      <w:color w:val="auto"/>
      <w:sz w:val="1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5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C76FB"/>
    <w:pPr>
      <w:tabs>
        <w:tab w:val="left" w:pos="360"/>
      </w:tabs>
      <w:spacing w:line="312" w:lineRule="auto"/>
      <w:ind w:left="540"/>
      <w:jc w:val="both"/>
    </w:pPr>
    <w:rPr>
      <w:rFonts w:ascii="Times New Roman" w:hAnsi="Times New Roman" w:cs="Times New Roman"/>
      <w:color w:val="auto"/>
      <w:sz w:val="22"/>
      <w:szCs w:val="24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AC76FB"/>
    <w:rPr>
      <w:rFonts w:ascii="Times New Roman" w:eastAsia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9625F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A2BD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A2BD8"/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C5F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5F78"/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AC5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F78"/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SemEspaamento">
    <w:name w:val="No Spacing"/>
    <w:uiPriority w:val="1"/>
    <w:qFormat/>
    <w:rsid w:val="009367FB"/>
    <w:pPr>
      <w:spacing w:after="0" w:line="240" w:lineRule="auto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D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D6E"/>
    <w:rPr>
      <w:rFonts w:ascii="Tahoma" w:eastAsia="Times New Roman" w:hAnsi="Tahoma" w:cs="Tahoma"/>
      <w:color w:val="FF0000"/>
      <w:sz w:val="16"/>
      <w:szCs w:val="16"/>
      <w:lang w:val="en-US"/>
    </w:rPr>
  </w:style>
  <w:style w:type="character" w:styleId="Forte">
    <w:name w:val="Strong"/>
    <w:basedOn w:val="Fontepargpadro"/>
    <w:qFormat/>
    <w:rsid w:val="002842C0"/>
    <w:rPr>
      <w:b/>
      <w:bCs/>
    </w:rPr>
  </w:style>
  <w:style w:type="character" w:customStyle="1" w:styleId="apple-converted-space">
    <w:name w:val="apple-converted-space"/>
    <w:basedOn w:val="Fontepargpadro"/>
    <w:rsid w:val="002842C0"/>
  </w:style>
  <w:style w:type="paragraph" w:customStyle="1" w:styleId="Normal1">
    <w:name w:val="Normal1"/>
    <w:basedOn w:val="Normal"/>
    <w:rsid w:val="00F70396"/>
    <w:pPr>
      <w:keepLines/>
      <w:spacing w:before="120" w:after="120" w:line="264" w:lineRule="atLeast"/>
      <w:ind w:left="720"/>
      <w:jc w:val="both"/>
    </w:pPr>
    <w:rPr>
      <w:rFonts w:cs="Times New Roman"/>
      <w:color w:val="auto"/>
      <w:lang w:val="pt-BR" w:eastAsia="pt-BR"/>
    </w:rPr>
  </w:style>
  <w:style w:type="character" w:customStyle="1" w:styleId="Ttulo1Char">
    <w:name w:val="Título 1 Char"/>
    <w:basedOn w:val="Fontepargpadro"/>
    <w:link w:val="Ttulo1"/>
    <w:rsid w:val="00184555"/>
    <w:rPr>
      <w:rFonts w:ascii="Arial" w:eastAsia="Times New Roman" w:hAnsi="Arial" w:cs="Arial"/>
      <w:b/>
      <w:bCs/>
      <w:sz w:val="14"/>
      <w:szCs w:val="24"/>
      <w:lang w:eastAsia="pt-BR"/>
    </w:rPr>
  </w:style>
  <w:style w:type="table" w:styleId="Tabelacomgrade">
    <w:name w:val="Table Grid"/>
    <w:basedOn w:val="Tabelanormal"/>
    <w:uiPriority w:val="59"/>
    <w:rsid w:val="0082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08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4AB9"/>
    <w:rPr>
      <w:color w:val="0000FF" w:themeColor="hyperlink"/>
      <w:u w:val="single"/>
    </w:rPr>
  </w:style>
  <w:style w:type="paragraph" w:customStyle="1" w:styleId="Style1">
    <w:name w:val="Style 1"/>
    <w:basedOn w:val="Normal"/>
    <w:uiPriority w:val="99"/>
    <w:rsid w:val="008A231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5A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CharacterStyle1">
    <w:name w:val="Character Style 1"/>
    <w:uiPriority w:val="99"/>
    <w:rsid w:val="00FE5AF6"/>
    <w:rPr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FE5AF6"/>
    <w:pPr>
      <w:spacing w:line="241" w:lineRule="atLeast"/>
    </w:pPr>
    <w:rPr>
      <w:rFonts w:ascii="Arial" w:eastAsiaTheme="minorEastAsia" w:hAnsi="Arial" w:cs="Arial"/>
      <w:color w:val="auto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E5AF6"/>
    <w:pPr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E5AF6"/>
    <w:rPr>
      <w:rFonts w:eastAsiaTheme="minorEastAsia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E5AF6"/>
    <w:pPr>
      <w:spacing w:after="120" w:line="276" w:lineRule="auto"/>
    </w:pPr>
    <w:rPr>
      <w:rFonts w:asciiTheme="minorHAnsi" w:eastAsiaTheme="minorEastAsia" w:hAnsiTheme="minorHAnsi" w:cstheme="minorBidi"/>
      <w:color w:val="auto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E5AF6"/>
    <w:rPr>
      <w:rFonts w:eastAsiaTheme="minorEastAsia"/>
      <w:sz w:val="16"/>
      <w:szCs w:val="16"/>
      <w:lang w:eastAsia="pt-BR"/>
    </w:rPr>
  </w:style>
  <w:style w:type="paragraph" w:styleId="NormalWeb">
    <w:name w:val="Normal (Web)"/>
    <w:basedOn w:val="Normal"/>
    <w:rsid w:val="00FE5AF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ceita.fazenda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DA1B-4399-4DC4-8FD7-94E6552F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949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Alysson Fontes de Oliveira</dc:creator>
  <cp:lastModifiedBy>VanuZa Cabral Santos</cp:lastModifiedBy>
  <cp:revision>26</cp:revision>
  <cp:lastPrinted>2019-04-08T14:29:00Z</cp:lastPrinted>
  <dcterms:created xsi:type="dcterms:W3CDTF">2016-12-20T12:47:00Z</dcterms:created>
  <dcterms:modified xsi:type="dcterms:W3CDTF">2019-04-11T15:39:00Z</dcterms:modified>
</cp:coreProperties>
</file>